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napToGrid w:val="0"/>
        <w:spacing w:before="216" w:after="24" w:line="360" w:lineRule="auto"/>
        <w:rPr>
          <w:rFonts w:hAnsi="黑体"/>
          <w:b/>
          <w:color w:val="000000"/>
          <w:sz w:val="28"/>
          <w:szCs w:val="28"/>
        </w:rPr>
      </w:pPr>
      <w:r>
        <w:rPr>
          <w:rFonts w:hint="eastAsia" w:hAnsi="黑体"/>
          <w:b/>
          <w:color w:val="000000"/>
          <w:sz w:val="28"/>
          <w:szCs w:val="28"/>
        </w:rPr>
        <w:t>项目编号：HXZB-SDWL-2023001</w:t>
      </w:r>
    </w:p>
    <w:p>
      <w:pPr>
        <w:tabs>
          <w:tab w:val="left" w:pos="3780"/>
        </w:tabs>
        <w:snapToGrid w:val="0"/>
        <w:spacing w:before="216" w:after="24" w:line="360" w:lineRule="auto"/>
        <w:rPr>
          <w:b/>
          <w:color w:val="000000"/>
          <w:sz w:val="28"/>
          <w:szCs w:val="28"/>
        </w:rPr>
      </w:pPr>
    </w:p>
    <w:p>
      <w:pPr>
        <w:pStyle w:val="2"/>
        <w:rPr>
          <w:rFonts w:ascii="仿宋_GB2312" w:eastAsia="仿宋_GB2312"/>
        </w:rPr>
      </w:pPr>
    </w:p>
    <w:p>
      <w:pPr>
        <w:pStyle w:val="2"/>
        <w:rPr>
          <w:rFonts w:ascii="仿宋_GB2312" w:eastAsia="仿宋_GB2312"/>
        </w:rPr>
      </w:pPr>
    </w:p>
    <w:p>
      <w:pPr>
        <w:tabs>
          <w:tab w:val="left" w:pos="3780"/>
        </w:tabs>
        <w:snapToGrid w:val="0"/>
        <w:spacing w:line="560" w:lineRule="exact"/>
        <w:jc w:val="center"/>
        <w:rPr>
          <w:rFonts w:hAnsi="黑体"/>
          <w:b/>
          <w:color w:val="000000"/>
          <w:sz w:val="44"/>
          <w:szCs w:val="28"/>
          <w:lang w:val="en-US"/>
        </w:rPr>
      </w:pPr>
      <w:r>
        <w:rPr>
          <w:rFonts w:hint="eastAsia" w:hAnsi="黑体"/>
          <w:b/>
          <w:color w:val="000000"/>
          <w:sz w:val="44"/>
          <w:szCs w:val="28"/>
          <w:lang w:val="en-US"/>
        </w:rPr>
        <w:t>渠县智慧公路物流港审计服务项目</w:t>
      </w:r>
    </w:p>
    <w:p>
      <w:pPr>
        <w:spacing w:line="560" w:lineRule="exact"/>
        <w:jc w:val="center"/>
        <w:rPr>
          <w:rFonts w:hAnsi="仿宋"/>
          <w:b/>
          <w:color w:val="000000"/>
          <w:sz w:val="44"/>
          <w:szCs w:val="28"/>
        </w:rPr>
      </w:pPr>
    </w:p>
    <w:p>
      <w:pPr>
        <w:spacing w:line="560" w:lineRule="exact"/>
        <w:jc w:val="center"/>
        <w:rPr>
          <w:rFonts w:hAnsi="仿宋"/>
          <w:b/>
          <w:color w:val="000000"/>
          <w:sz w:val="44"/>
          <w:szCs w:val="28"/>
        </w:rPr>
      </w:pPr>
    </w:p>
    <w:p>
      <w:pPr>
        <w:spacing w:line="560" w:lineRule="exact"/>
        <w:jc w:val="center"/>
        <w:rPr>
          <w:rFonts w:hAnsi="仿宋"/>
          <w:b/>
          <w:color w:val="000000"/>
          <w:sz w:val="44"/>
          <w:szCs w:val="28"/>
        </w:rPr>
      </w:pPr>
    </w:p>
    <w:p>
      <w:pPr>
        <w:spacing w:line="560" w:lineRule="exact"/>
        <w:jc w:val="center"/>
        <w:rPr>
          <w:rFonts w:hAnsi="仿宋"/>
          <w:b/>
          <w:color w:val="000000"/>
          <w:sz w:val="44"/>
          <w:szCs w:val="28"/>
        </w:rPr>
      </w:pPr>
    </w:p>
    <w:p>
      <w:pPr>
        <w:spacing w:line="560" w:lineRule="exact"/>
        <w:jc w:val="center"/>
        <w:rPr>
          <w:rFonts w:hAnsi="仿宋"/>
          <w:b/>
          <w:color w:val="000000"/>
          <w:sz w:val="44"/>
          <w:szCs w:val="28"/>
        </w:rPr>
      </w:pPr>
      <w:r>
        <w:rPr>
          <w:rFonts w:hint="eastAsia" w:hAnsi="仿宋"/>
          <w:b/>
          <w:color w:val="000000"/>
          <w:sz w:val="44"/>
          <w:szCs w:val="28"/>
        </w:rPr>
        <w:t>比</w:t>
      </w:r>
    </w:p>
    <w:p>
      <w:pPr>
        <w:spacing w:line="560" w:lineRule="exact"/>
        <w:jc w:val="center"/>
        <w:rPr>
          <w:rFonts w:hAnsi="仿宋"/>
          <w:b/>
          <w:color w:val="000000"/>
          <w:sz w:val="44"/>
          <w:szCs w:val="28"/>
        </w:rPr>
      </w:pPr>
      <w:r>
        <w:rPr>
          <w:rFonts w:hint="eastAsia" w:hAnsi="仿宋"/>
          <w:b/>
          <w:color w:val="000000"/>
          <w:sz w:val="44"/>
          <w:szCs w:val="28"/>
        </w:rPr>
        <w:t>选</w:t>
      </w:r>
    </w:p>
    <w:p>
      <w:pPr>
        <w:spacing w:line="560" w:lineRule="exact"/>
        <w:jc w:val="center"/>
        <w:rPr>
          <w:rFonts w:hAnsi="仿宋"/>
          <w:b/>
          <w:color w:val="000000"/>
          <w:sz w:val="44"/>
          <w:szCs w:val="28"/>
        </w:rPr>
      </w:pPr>
      <w:r>
        <w:rPr>
          <w:rFonts w:hint="eastAsia" w:hAnsi="仿宋"/>
          <w:b/>
          <w:color w:val="000000"/>
          <w:sz w:val="44"/>
          <w:szCs w:val="28"/>
        </w:rPr>
        <w:t>文</w:t>
      </w:r>
    </w:p>
    <w:p>
      <w:pPr>
        <w:spacing w:line="560" w:lineRule="exact"/>
        <w:jc w:val="center"/>
        <w:rPr>
          <w:rFonts w:hAnsi="仿宋"/>
          <w:b/>
          <w:color w:val="000000"/>
          <w:sz w:val="44"/>
          <w:szCs w:val="28"/>
        </w:rPr>
      </w:pPr>
      <w:r>
        <w:rPr>
          <w:rFonts w:hint="eastAsia" w:hAnsi="仿宋"/>
          <w:b/>
          <w:color w:val="000000"/>
          <w:sz w:val="44"/>
          <w:szCs w:val="28"/>
        </w:rPr>
        <w:t>件</w:t>
      </w:r>
    </w:p>
    <w:p>
      <w:pPr>
        <w:spacing w:line="560" w:lineRule="exact"/>
        <w:jc w:val="center"/>
        <w:rPr>
          <w:rFonts w:hAnsi="仿宋"/>
          <w:b/>
          <w:color w:val="000000"/>
          <w:sz w:val="44"/>
          <w:szCs w:val="28"/>
        </w:rPr>
      </w:pPr>
    </w:p>
    <w:p>
      <w:pPr>
        <w:spacing w:line="560" w:lineRule="exact"/>
        <w:rPr>
          <w:rFonts w:hAnsi="仿宋"/>
          <w:b/>
          <w:color w:val="000000"/>
          <w:sz w:val="44"/>
          <w:szCs w:val="28"/>
        </w:rPr>
      </w:pPr>
    </w:p>
    <w:p>
      <w:pPr>
        <w:spacing w:line="560" w:lineRule="exact"/>
        <w:rPr>
          <w:rFonts w:hAnsi="仿宋"/>
          <w:b/>
          <w:color w:val="000000"/>
          <w:sz w:val="44"/>
          <w:szCs w:val="28"/>
        </w:rPr>
      </w:pPr>
    </w:p>
    <w:p>
      <w:pPr>
        <w:spacing w:line="560" w:lineRule="exact"/>
        <w:rPr>
          <w:rFonts w:hAnsi="仿宋"/>
          <w:b/>
          <w:color w:val="000000"/>
          <w:sz w:val="36"/>
          <w:szCs w:val="28"/>
        </w:rPr>
      </w:pPr>
    </w:p>
    <w:p>
      <w:pPr>
        <w:spacing w:line="560" w:lineRule="exact"/>
        <w:ind w:firstLine="851" w:firstLineChars="106"/>
        <w:rPr>
          <w:rFonts w:hAnsi="黑体"/>
          <w:b/>
          <w:color w:val="000000"/>
          <w:sz w:val="32"/>
          <w:szCs w:val="28"/>
        </w:rPr>
      </w:pPr>
      <w:r>
        <w:rPr>
          <w:rFonts w:hint="eastAsia" w:hAnsi="仿宋"/>
          <w:b/>
          <w:color w:val="000000"/>
          <w:spacing w:val="241"/>
          <w:kern w:val="0"/>
          <w:sz w:val="32"/>
          <w:szCs w:val="28"/>
          <w:fitText w:val="1926" w:id="-1290621952"/>
        </w:rPr>
        <w:t>比选</w:t>
      </w:r>
      <w:r>
        <w:rPr>
          <w:rFonts w:hint="eastAsia" w:hAnsi="仿宋"/>
          <w:b/>
          <w:color w:val="000000"/>
          <w:spacing w:val="1"/>
          <w:kern w:val="0"/>
          <w:sz w:val="32"/>
          <w:szCs w:val="28"/>
          <w:fitText w:val="1926" w:id="-1290621952"/>
        </w:rPr>
        <w:t>人</w:t>
      </w:r>
      <w:r>
        <w:rPr>
          <w:rFonts w:hint="eastAsia" w:hAnsi="仿宋"/>
          <w:b/>
          <w:color w:val="000000"/>
          <w:sz w:val="32"/>
          <w:szCs w:val="28"/>
        </w:rPr>
        <w:t>：</w:t>
      </w:r>
      <w:r>
        <w:rPr>
          <w:rFonts w:hint="eastAsia" w:hAnsi="黑体"/>
          <w:b/>
          <w:color w:val="000000"/>
          <w:sz w:val="32"/>
          <w:szCs w:val="28"/>
        </w:rPr>
        <w:t>四川</w:t>
      </w:r>
      <w:r>
        <w:rPr>
          <w:rFonts w:hint="eastAsia" w:hAnsi="黑体"/>
          <w:b/>
          <w:color w:val="000000"/>
          <w:sz w:val="32"/>
          <w:szCs w:val="28"/>
          <w:lang w:val="en-US"/>
        </w:rPr>
        <w:t>蜀道</w:t>
      </w:r>
      <w:r>
        <w:rPr>
          <w:rFonts w:hint="eastAsia" w:hAnsi="黑体"/>
          <w:b/>
          <w:color w:val="000000"/>
          <w:sz w:val="32"/>
          <w:szCs w:val="28"/>
        </w:rPr>
        <w:t>物流</w:t>
      </w:r>
      <w:r>
        <w:rPr>
          <w:rFonts w:hint="eastAsia" w:hAnsi="黑体"/>
          <w:b/>
          <w:color w:val="000000"/>
          <w:sz w:val="32"/>
          <w:szCs w:val="28"/>
          <w:lang w:val="en-US"/>
        </w:rPr>
        <w:t>集团</w:t>
      </w:r>
      <w:r>
        <w:rPr>
          <w:rFonts w:hint="eastAsia" w:hAnsi="黑体"/>
          <w:b/>
          <w:color w:val="000000"/>
          <w:sz w:val="32"/>
          <w:szCs w:val="28"/>
        </w:rPr>
        <w:t>有限公司</w:t>
      </w:r>
    </w:p>
    <w:p>
      <w:pPr>
        <w:spacing w:line="560" w:lineRule="exact"/>
        <w:rPr>
          <w:rFonts w:hAnsi="黑体"/>
          <w:b/>
          <w:color w:val="000000"/>
          <w:sz w:val="32"/>
          <w:szCs w:val="28"/>
          <w:lang w:val="en-US"/>
        </w:rPr>
      </w:pPr>
      <w:r>
        <w:rPr>
          <w:rFonts w:hint="eastAsia" w:hAnsi="黑体"/>
          <w:b/>
          <w:color w:val="000000"/>
          <w:sz w:val="32"/>
          <w:szCs w:val="28"/>
          <w:lang w:val="en-US"/>
        </w:rPr>
        <w:t xml:space="preserve"> </w:t>
      </w:r>
      <w:r>
        <w:rPr>
          <w:rFonts w:hAnsi="黑体"/>
          <w:b/>
          <w:color w:val="000000"/>
          <w:sz w:val="32"/>
          <w:szCs w:val="28"/>
          <w:lang w:val="en-US"/>
        </w:rPr>
        <w:t xml:space="preserve">          </w:t>
      </w:r>
      <w:r>
        <w:rPr>
          <w:rFonts w:hint="eastAsia" w:hAnsi="黑体"/>
          <w:b/>
          <w:color w:val="000000"/>
          <w:sz w:val="32"/>
          <w:szCs w:val="28"/>
          <w:lang w:val="en-US"/>
        </w:rPr>
        <w:t xml:space="preserve">        渠县蜀物致远物流发展有限公司</w:t>
      </w:r>
    </w:p>
    <w:p>
      <w:pPr>
        <w:spacing w:line="560" w:lineRule="exact"/>
        <w:ind w:firstLine="851" w:firstLineChars="265"/>
        <w:rPr>
          <w:rFonts w:hAnsi="黑体"/>
          <w:b/>
          <w:color w:val="000000"/>
          <w:sz w:val="32"/>
          <w:szCs w:val="28"/>
          <w:lang w:val="en-US"/>
        </w:rPr>
      </w:pPr>
      <w:r>
        <w:rPr>
          <w:rFonts w:hint="eastAsia" w:hAnsi="黑体"/>
          <w:b/>
          <w:color w:val="000000"/>
          <w:sz w:val="32"/>
          <w:szCs w:val="28"/>
          <w:lang w:val="en-US"/>
        </w:rPr>
        <w:t>比选代理机构：华信咨询设计研究院有限公司</w:t>
      </w:r>
    </w:p>
    <w:p>
      <w:pPr>
        <w:pStyle w:val="2"/>
        <w:rPr>
          <w:rFonts w:eastAsiaTheme="minorEastAsia"/>
          <w:lang w:val="en-US"/>
        </w:rPr>
      </w:pPr>
    </w:p>
    <w:p>
      <w:pPr>
        <w:spacing w:line="560" w:lineRule="exact"/>
        <w:jc w:val="center"/>
        <w:rPr>
          <w:rFonts w:hAnsi="仿宋"/>
          <w:b/>
          <w:color w:val="000000"/>
          <w:sz w:val="32"/>
          <w:szCs w:val="28"/>
        </w:rPr>
      </w:pPr>
      <w:r>
        <w:rPr>
          <w:rFonts w:hint="eastAsia" w:hAnsi="仿宋"/>
          <w:b/>
          <w:color w:val="000000"/>
          <w:sz w:val="32"/>
          <w:szCs w:val="28"/>
        </w:rPr>
        <w:t>二O二三年</w:t>
      </w:r>
      <w:r>
        <w:rPr>
          <w:rFonts w:hint="eastAsia" w:hAnsi="仿宋"/>
          <w:b/>
          <w:color w:val="000000"/>
          <w:sz w:val="32"/>
          <w:szCs w:val="28"/>
          <w:lang w:val="en-US"/>
        </w:rPr>
        <w:t>三</w:t>
      </w:r>
      <w:r>
        <w:rPr>
          <w:rFonts w:hint="eastAsia" w:hAnsi="仿宋"/>
          <w:b/>
          <w:color w:val="000000"/>
          <w:sz w:val="32"/>
          <w:szCs w:val="28"/>
        </w:rPr>
        <w:t>月</w:t>
      </w:r>
    </w:p>
    <w:p>
      <w:pPr>
        <w:widowControl/>
        <w:jc w:val="center"/>
        <w:rPr>
          <w:rFonts w:hAnsi="仿宋"/>
          <w:b/>
          <w:color w:val="000000"/>
          <w:sz w:val="28"/>
          <w:szCs w:val="28"/>
        </w:rPr>
        <w:sectPr>
          <w:pgSz w:w="11906" w:h="16838"/>
          <w:pgMar w:top="1928" w:right="1531" w:bottom="1928" w:left="1531" w:header="851" w:footer="992" w:gutter="0"/>
          <w:pgNumType w:start="1"/>
          <w:cols w:space="720" w:num="1"/>
          <w:docGrid w:type="lines" w:linePitch="317" w:charSpace="0"/>
        </w:sectPr>
      </w:pPr>
    </w:p>
    <w:p>
      <w:pPr>
        <w:jc w:val="center"/>
        <w:rPr>
          <w:b/>
          <w:sz w:val="28"/>
          <w:szCs w:val="28"/>
        </w:rPr>
      </w:pPr>
      <w:bookmarkStart w:id="0" w:name="_Toc14778_WPSOffice_Type1"/>
      <w:r>
        <w:rPr>
          <w:rFonts w:hint="eastAsia"/>
          <w:b/>
          <w:sz w:val="28"/>
          <w:szCs w:val="28"/>
        </w:rPr>
        <w:t>目录</w:t>
      </w:r>
    </w:p>
    <w:p>
      <w:pPr>
        <w:jc w:val="center"/>
        <w:rPr>
          <w:b/>
          <w:sz w:val="28"/>
          <w:szCs w:val="28"/>
        </w:rPr>
      </w:pPr>
    </w:p>
    <w:p>
      <w:pPr>
        <w:pStyle w:val="14"/>
        <w:tabs>
          <w:tab w:val="right" w:leader="dot" w:pos="8834"/>
        </w:tabs>
        <w:rPr>
          <w:sz w:val="32"/>
        </w:rPr>
      </w:pPr>
      <w:r>
        <w:rPr>
          <w:rFonts w:hint="eastAsia"/>
          <w:b/>
          <w:sz w:val="40"/>
          <w:szCs w:val="28"/>
        </w:rPr>
        <w:fldChar w:fldCharType="begin"/>
      </w:r>
      <w:r>
        <w:rPr>
          <w:rFonts w:hint="eastAsia"/>
          <w:b/>
          <w:sz w:val="40"/>
          <w:szCs w:val="28"/>
        </w:rPr>
        <w:instrText xml:space="preserve"> TOC \o "1-1" \h \z \u </w:instrText>
      </w:r>
      <w:r>
        <w:rPr>
          <w:rFonts w:hint="eastAsia"/>
          <w:b/>
          <w:sz w:val="40"/>
          <w:szCs w:val="28"/>
        </w:rPr>
        <w:fldChar w:fldCharType="separate"/>
      </w:r>
      <w:r>
        <w:fldChar w:fldCharType="begin"/>
      </w:r>
      <w:r>
        <w:instrText xml:space="preserve"> HYPERLINK \l "_Toc127778960" </w:instrText>
      </w:r>
      <w:r>
        <w:fldChar w:fldCharType="separate"/>
      </w:r>
      <w:r>
        <w:rPr>
          <w:rStyle w:val="20"/>
          <w:rFonts w:hint="eastAsia" w:hAnsi="仿宋"/>
          <w:sz w:val="32"/>
        </w:rPr>
        <w:t>第一章 比选公告</w:t>
      </w:r>
      <w:r>
        <w:rPr>
          <w:rFonts w:hint="eastAsia"/>
          <w:sz w:val="32"/>
        </w:rPr>
        <w:tab/>
      </w:r>
      <w:r>
        <w:rPr>
          <w:rFonts w:hint="eastAsia"/>
          <w:sz w:val="32"/>
        </w:rPr>
        <w:fldChar w:fldCharType="begin"/>
      </w:r>
      <w:r>
        <w:rPr>
          <w:rFonts w:hint="eastAsia"/>
          <w:sz w:val="32"/>
        </w:rPr>
        <w:instrText xml:space="preserve"> PAGEREF _Toc127778960 \h </w:instrText>
      </w:r>
      <w:r>
        <w:rPr>
          <w:rFonts w:hint="eastAsia"/>
          <w:sz w:val="32"/>
        </w:rPr>
        <w:fldChar w:fldCharType="separate"/>
      </w:r>
      <w:r>
        <w:rPr>
          <w:sz w:val="32"/>
        </w:rPr>
        <w:t>1</w:t>
      </w:r>
      <w:r>
        <w:rPr>
          <w:rFonts w:hint="eastAsia"/>
          <w:sz w:val="32"/>
        </w:rPr>
        <w:fldChar w:fldCharType="end"/>
      </w:r>
      <w:r>
        <w:rPr>
          <w:rFonts w:hint="eastAsia"/>
          <w:sz w:val="32"/>
        </w:rPr>
        <w:fldChar w:fldCharType="end"/>
      </w:r>
    </w:p>
    <w:p>
      <w:pPr>
        <w:pStyle w:val="14"/>
        <w:tabs>
          <w:tab w:val="right" w:leader="dot" w:pos="8834"/>
        </w:tabs>
        <w:rPr>
          <w:sz w:val="32"/>
        </w:rPr>
      </w:pPr>
      <w:r>
        <w:fldChar w:fldCharType="begin"/>
      </w:r>
      <w:r>
        <w:instrText xml:space="preserve"> HYPERLINK \l "_Toc127778961" </w:instrText>
      </w:r>
      <w:r>
        <w:fldChar w:fldCharType="separate"/>
      </w:r>
      <w:r>
        <w:rPr>
          <w:rStyle w:val="20"/>
          <w:rFonts w:hint="eastAsia"/>
          <w:sz w:val="32"/>
        </w:rPr>
        <w:t xml:space="preserve">第二章 </w:t>
      </w:r>
      <w:r>
        <w:rPr>
          <w:rStyle w:val="20"/>
          <w:rFonts w:hint="eastAsia"/>
          <w:sz w:val="32"/>
          <w:lang w:val="en-US"/>
        </w:rPr>
        <w:t>比选申请人</w:t>
      </w:r>
      <w:r>
        <w:rPr>
          <w:rStyle w:val="20"/>
          <w:rFonts w:hint="eastAsia"/>
          <w:sz w:val="32"/>
        </w:rPr>
        <w:t>须知</w:t>
      </w:r>
      <w:r>
        <w:rPr>
          <w:rFonts w:hint="eastAsia"/>
          <w:sz w:val="32"/>
        </w:rPr>
        <w:tab/>
      </w:r>
      <w:r>
        <w:rPr>
          <w:rFonts w:hint="eastAsia"/>
          <w:sz w:val="32"/>
        </w:rPr>
        <w:fldChar w:fldCharType="begin"/>
      </w:r>
      <w:r>
        <w:rPr>
          <w:rFonts w:hint="eastAsia"/>
          <w:sz w:val="32"/>
        </w:rPr>
        <w:instrText xml:space="preserve"> PAGEREF _Toc127778961 \h </w:instrText>
      </w:r>
      <w:r>
        <w:rPr>
          <w:rFonts w:hint="eastAsia"/>
          <w:sz w:val="32"/>
        </w:rPr>
        <w:fldChar w:fldCharType="separate"/>
      </w:r>
      <w:r>
        <w:rPr>
          <w:sz w:val="32"/>
        </w:rPr>
        <w:t>8</w:t>
      </w:r>
      <w:r>
        <w:rPr>
          <w:rFonts w:hint="eastAsia"/>
          <w:sz w:val="32"/>
        </w:rPr>
        <w:fldChar w:fldCharType="end"/>
      </w:r>
      <w:r>
        <w:rPr>
          <w:rFonts w:hint="eastAsia"/>
          <w:sz w:val="32"/>
        </w:rPr>
        <w:fldChar w:fldCharType="end"/>
      </w:r>
    </w:p>
    <w:p>
      <w:pPr>
        <w:pStyle w:val="14"/>
        <w:tabs>
          <w:tab w:val="right" w:leader="dot" w:pos="8834"/>
        </w:tabs>
        <w:rPr>
          <w:sz w:val="32"/>
        </w:rPr>
      </w:pPr>
      <w:r>
        <w:fldChar w:fldCharType="begin"/>
      </w:r>
      <w:r>
        <w:instrText xml:space="preserve"> HYPERLINK \l "_Toc127778962" </w:instrText>
      </w:r>
      <w:r>
        <w:fldChar w:fldCharType="separate"/>
      </w:r>
      <w:r>
        <w:rPr>
          <w:rStyle w:val="20"/>
          <w:rFonts w:hint="eastAsia"/>
          <w:sz w:val="32"/>
        </w:rPr>
        <w:t>第三章  比选项目商务、服务、技术及其它要求</w:t>
      </w:r>
      <w:r>
        <w:rPr>
          <w:rFonts w:hint="eastAsia"/>
          <w:sz w:val="32"/>
        </w:rPr>
        <w:tab/>
      </w:r>
      <w:r>
        <w:rPr>
          <w:rFonts w:hint="eastAsia"/>
          <w:sz w:val="32"/>
        </w:rPr>
        <w:fldChar w:fldCharType="begin"/>
      </w:r>
      <w:r>
        <w:rPr>
          <w:rFonts w:hint="eastAsia"/>
          <w:sz w:val="32"/>
        </w:rPr>
        <w:instrText xml:space="preserve"> PAGEREF _Toc127778962 \h </w:instrText>
      </w:r>
      <w:r>
        <w:rPr>
          <w:rFonts w:hint="eastAsia"/>
          <w:sz w:val="32"/>
        </w:rPr>
        <w:fldChar w:fldCharType="separate"/>
      </w:r>
      <w:r>
        <w:rPr>
          <w:sz w:val="32"/>
        </w:rPr>
        <w:t>18</w:t>
      </w:r>
      <w:r>
        <w:rPr>
          <w:rFonts w:hint="eastAsia"/>
          <w:sz w:val="32"/>
        </w:rPr>
        <w:fldChar w:fldCharType="end"/>
      </w:r>
      <w:r>
        <w:rPr>
          <w:rFonts w:hint="eastAsia"/>
          <w:sz w:val="32"/>
        </w:rPr>
        <w:fldChar w:fldCharType="end"/>
      </w:r>
    </w:p>
    <w:p>
      <w:pPr>
        <w:pStyle w:val="14"/>
        <w:tabs>
          <w:tab w:val="right" w:leader="dot" w:pos="8834"/>
        </w:tabs>
        <w:rPr>
          <w:sz w:val="32"/>
        </w:rPr>
      </w:pPr>
      <w:r>
        <w:fldChar w:fldCharType="begin"/>
      </w:r>
      <w:r>
        <w:instrText xml:space="preserve"> HYPERLINK \l "_Toc127778963" </w:instrText>
      </w:r>
      <w:r>
        <w:fldChar w:fldCharType="separate"/>
      </w:r>
      <w:r>
        <w:rPr>
          <w:rStyle w:val="20"/>
          <w:rFonts w:hint="eastAsia"/>
          <w:sz w:val="32"/>
        </w:rPr>
        <w:t>第四章 比选办法</w:t>
      </w:r>
      <w:r>
        <w:rPr>
          <w:rFonts w:hint="eastAsia"/>
          <w:sz w:val="32"/>
        </w:rPr>
        <w:tab/>
      </w:r>
      <w:r>
        <w:rPr>
          <w:rFonts w:hint="eastAsia"/>
          <w:sz w:val="32"/>
        </w:rPr>
        <w:fldChar w:fldCharType="begin"/>
      </w:r>
      <w:r>
        <w:rPr>
          <w:rFonts w:hint="eastAsia"/>
          <w:sz w:val="32"/>
        </w:rPr>
        <w:instrText xml:space="preserve"> PAGEREF _Toc127778963 \h </w:instrText>
      </w:r>
      <w:r>
        <w:rPr>
          <w:rFonts w:hint="eastAsia"/>
          <w:sz w:val="32"/>
        </w:rPr>
        <w:fldChar w:fldCharType="separate"/>
      </w:r>
      <w:r>
        <w:rPr>
          <w:sz w:val="32"/>
        </w:rPr>
        <w:t>20</w:t>
      </w:r>
      <w:r>
        <w:rPr>
          <w:rFonts w:hint="eastAsia"/>
          <w:sz w:val="32"/>
        </w:rPr>
        <w:fldChar w:fldCharType="end"/>
      </w:r>
      <w:r>
        <w:rPr>
          <w:rFonts w:hint="eastAsia"/>
          <w:sz w:val="32"/>
        </w:rPr>
        <w:fldChar w:fldCharType="end"/>
      </w:r>
    </w:p>
    <w:p>
      <w:pPr>
        <w:pStyle w:val="14"/>
        <w:tabs>
          <w:tab w:val="right" w:leader="dot" w:pos="8834"/>
        </w:tabs>
        <w:rPr>
          <w:sz w:val="32"/>
        </w:rPr>
      </w:pPr>
      <w:r>
        <w:fldChar w:fldCharType="begin"/>
      </w:r>
      <w:r>
        <w:instrText xml:space="preserve"> HYPERLINK \l "_Toc127778964" </w:instrText>
      </w:r>
      <w:r>
        <w:fldChar w:fldCharType="separate"/>
      </w:r>
      <w:r>
        <w:rPr>
          <w:rStyle w:val="20"/>
          <w:rFonts w:hint="eastAsia"/>
          <w:sz w:val="32"/>
        </w:rPr>
        <w:t>第五章 比选申请文件格式</w:t>
      </w:r>
      <w:r>
        <w:rPr>
          <w:rFonts w:hint="eastAsia"/>
          <w:sz w:val="32"/>
        </w:rPr>
        <w:tab/>
      </w:r>
      <w:r>
        <w:rPr>
          <w:rFonts w:hint="eastAsia"/>
          <w:sz w:val="32"/>
        </w:rPr>
        <w:fldChar w:fldCharType="begin"/>
      </w:r>
      <w:r>
        <w:rPr>
          <w:rFonts w:hint="eastAsia"/>
          <w:sz w:val="32"/>
        </w:rPr>
        <w:instrText xml:space="preserve"> PAGEREF _Toc127778964 \h </w:instrText>
      </w:r>
      <w:r>
        <w:rPr>
          <w:rFonts w:hint="eastAsia"/>
          <w:sz w:val="32"/>
        </w:rPr>
        <w:fldChar w:fldCharType="separate"/>
      </w:r>
      <w:r>
        <w:rPr>
          <w:sz w:val="32"/>
        </w:rPr>
        <w:t>32</w:t>
      </w:r>
      <w:r>
        <w:rPr>
          <w:rFonts w:hint="eastAsia"/>
          <w:sz w:val="32"/>
        </w:rPr>
        <w:fldChar w:fldCharType="end"/>
      </w:r>
      <w:r>
        <w:rPr>
          <w:rFonts w:hint="eastAsia"/>
          <w:sz w:val="32"/>
        </w:rPr>
        <w:fldChar w:fldCharType="end"/>
      </w:r>
    </w:p>
    <w:p>
      <w:pPr>
        <w:pStyle w:val="14"/>
        <w:tabs>
          <w:tab w:val="right" w:leader="dot" w:pos="8834"/>
        </w:tabs>
        <w:rPr>
          <w:b/>
          <w:sz w:val="28"/>
          <w:szCs w:val="28"/>
        </w:rPr>
      </w:pPr>
      <w:r>
        <w:fldChar w:fldCharType="begin"/>
      </w:r>
      <w:r>
        <w:instrText xml:space="preserve"> HYPERLINK \l "_Toc127778965" </w:instrText>
      </w:r>
      <w:r>
        <w:fldChar w:fldCharType="separate"/>
      </w:r>
      <w:r>
        <w:rPr>
          <w:rStyle w:val="20"/>
          <w:rFonts w:hint="eastAsia"/>
          <w:sz w:val="32"/>
        </w:rPr>
        <w:t>第六章 合同主要条款（参考）</w:t>
      </w:r>
      <w:r>
        <w:rPr>
          <w:rFonts w:hint="eastAsia"/>
          <w:sz w:val="32"/>
        </w:rPr>
        <w:tab/>
      </w:r>
      <w:r>
        <w:rPr>
          <w:rFonts w:hint="eastAsia"/>
          <w:sz w:val="32"/>
        </w:rPr>
        <w:fldChar w:fldCharType="begin"/>
      </w:r>
      <w:r>
        <w:rPr>
          <w:rFonts w:hint="eastAsia"/>
          <w:sz w:val="32"/>
        </w:rPr>
        <w:instrText xml:space="preserve"> PAGEREF _Toc127778965 \h </w:instrText>
      </w:r>
      <w:r>
        <w:rPr>
          <w:rFonts w:hint="eastAsia"/>
          <w:sz w:val="32"/>
        </w:rPr>
        <w:fldChar w:fldCharType="separate"/>
      </w:r>
      <w:r>
        <w:rPr>
          <w:sz w:val="32"/>
        </w:rPr>
        <w:t>50</w:t>
      </w:r>
      <w:r>
        <w:rPr>
          <w:rFonts w:hint="eastAsia"/>
          <w:sz w:val="32"/>
        </w:rPr>
        <w:fldChar w:fldCharType="end"/>
      </w:r>
      <w:r>
        <w:rPr>
          <w:rFonts w:hint="eastAsia"/>
          <w:sz w:val="32"/>
        </w:rPr>
        <w:fldChar w:fldCharType="end"/>
      </w:r>
      <w:r>
        <w:rPr>
          <w:rFonts w:hint="eastAsia"/>
          <w:b/>
          <w:sz w:val="40"/>
          <w:szCs w:val="28"/>
        </w:rPr>
        <w:fldChar w:fldCharType="end"/>
      </w:r>
    </w:p>
    <w:bookmarkEnd w:id="0"/>
    <w:p>
      <w:pPr>
        <w:pStyle w:val="23"/>
        <w:tabs>
          <w:tab w:val="right" w:leader="dot" w:pos="8844"/>
        </w:tabs>
        <w:rPr>
          <w:rFonts w:ascii="仿宋_GB2312" w:eastAsia="仿宋_GB2312"/>
          <w:color w:val="000000"/>
          <w:sz w:val="28"/>
          <w:szCs w:val="28"/>
        </w:rPr>
        <w:sectPr>
          <w:pgSz w:w="11906" w:h="16838"/>
          <w:pgMar w:top="1928" w:right="1531" w:bottom="1928" w:left="1531" w:header="851" w:footer="992" w:gutter="0"/>
          <w:pgNumType w:start="2"/>
          <w:cols w:space="720" w:num="1"/>
          <w:docGrid w:type="lines" w:linePitch="317" w:charSpace="0"/>
        </w:sectPr>
      </w:pPr>
    </w:p>
    <w:p>
      <w:pPr>
        <w:pStyle w:val="3"/>
        <w:rPr>
          <w:rFonts w:ascii="仿宋_GB2312" w:hAnsi="仿宋"/>
          <w:b w:val="0"/>
          <w:bCs w:val="0"/>
          <w:color w:val="000000"/>
          <w:szCs w:val="28"/>
        </w:rPr>
      </w:pPr>
      <w:bookmarkStart w:id="1" w:name="_Toc6577_WPSOffice_Level1"/>
      <w:bookmarkStart w:id="2" w:name="_Toc2097_WPSOffice_Level1"/>
      <w:bookmarkStart w:id="3" w:name="_Toc127778960"/>
      <w:r>
        <w:rPr>
          <w:rFonts w:hint="eastAsia" w:ascii="仿宋_GB2312" w:hAnsi="仿宋"/>
          <w:color w:val="000000"/>
          <w:szCs w:val="28"/>
        </w:rPr>
        <w:t>第一章 比选公告</w:t>
      </w:r>
      <w:bookmarkEnd w:id="1"/>
      <w:bookmarkEnd w:id="2"/>
      <w:bookmarkEnd w:id="3"/>
    </w:p>
    <w:p>
      <w:pPr>
        <w:pStyle w:val="2"/>
        <w:rPr>
          <w:rFonts w:ascii="仿宋_GB2312" w:eastAsia="仿宋_GB2312"/>
        </w:rPr>
      </w:pPr>
    </w:p>
    <w:p>
      <w:pPr>
        <w:tabs>
          <w:tab w:val="left" w:pos="3780"/>
        </w:tabs>
        <w:autoSpaceDE/>
        <w:autoSpaceDN/>
        <w:snapToGrid w:val="0"/>
        <w:spacing w:line="360" w:lineRule="auto"/>
        <w:ind w:firstLine="480" w:firstLineChars="200"/>
        <w:jc w:val="both"/>
        <w:rPr>
          <w:sz w:val="24"/>
          <w:szCs w:val="24"/>
        </w:rPr>
      </w:pPr>
      <w:r>
        <w:rPr>
          <w:rFonts w:hint="eastAsia"/>
          <w:sz w:val="24"/>
          <w:szCs w:val="24"/>
        </w:rPr>
        <w:t>本比选项目为渠县智慧公路物流港审计服务项目（项目编号：HXZB-SDWL-2023001），比选人为</w:t>
      </w:r>
      <w:r>
        <w:rPr>
          <w:rFonts w:hint="eastAsia" w:hAnsi="仿宋" w:cs="Times New Roman"/>
          <w:color w:val="000000"/>
          <w:sz w:val="24"/>
          <w:szCs w:val="24"/>
        </w:rPr>
        <w:t>四川</w:t>
      </w:r>
      <w:r>
        <w:rPr>
          <w:rFonts w:hint="eastAsia" w:hAnsi="仿宋" w:cs="Times New Roman"/>
          <w:color w:val="000000"/>
          <w:sz w:val="24"/>
          <w:szCs w:val="24"/>
          <w:lang w:val="en-US"/>
        </w:rPr>
        <w:t>蜀道</w:t>
      </w:r>
      <w:r>
        <w:rPr>
          <w:rFonts w:hint="eastAsia" w:hAnsi="仿宋" w:cs="Times New Roman"/>
          <w:color w:val="000000"/>
          <w:sz w:val="24"/>
          <w:szCs w:val="24"/>
        </w:rPr>
        <w:t>物流</w:t>
      </w:r>
      <w:r>
        <w:rPr>
          <w:rFonts w:hint="eastAsia" w:hAnsi="仿宋" w:cs="Times New Roman"/>
          <w:color w:val="000000"/>
          <w:sz w:val="24"/>
          <w:szCs w:val="24"/>
          <w:lang w:val="en-US"/>
        </w:rPr>
        <w:t>集团</w:t>
      </w:r>
      <w:r>
        <w:rPr>
          <w:rFonts w:hint="eastAsia" w:hAnsi="仿宋" w:cs="Times New Roman"/>
          <w:color w:val="000000"/>
          <w:sz w:val="24"/>
          <w:szCs w:val="24"/>
        </w:rPr>
        <w:t>有限公司、</w:t>
      </w:r>
      <w:r>
        <w:rPr>
          <w:rFonts w:hint="eastAsia" w:hAnsi="Times New Roman" w:cs="Times New Roman"/>
          <w:kern w:val="2"/>
          <w:sz w:val="24"/>
          <w:szCs w:val="24"/>
          <w:lang w:val="en-US" w:bidi="ar-SA"/>
        </w:rPr>
        <w:t>渠县蜀物致远物流发展有限公司</w:t>
      </w:r>
      <w:r>
        <w:rPr>
          <w:rFonts w:hint="eastAsia"/>
          <w:sz w:val="24"/>
          <w:szCs w:val="24"/>
        </w:rPr>
        <w:t>，比选代理机构为华信咨询设计研究院有限公司。项目资金已落实，具备比选条件，现根据有关规定进行公开比选，特邀请有意向的且具有提供标的物能力的潜在比选申请人（以下简称比选申请人）参选。</w:t>
      </w:r>
    </w:p>
    <w:p>
      <w:pPr>
        <w:numPr>
          <w:ilvl w:val="0"/>
          <w:numId w:val="1"/>
        </w:numPr>
        <w:autoSpaceDE/>
        <w:autoSpaceDN/>
        <w:spacing w:line="360" w:lineRule="auto"/>
        <w:ind w:left="0" w:firstLine="0"/>
        <w:rPr>
          <w:rFonts w:hAnsi="黑体" w:cs="黑体"/>
          <w:b/>
          <w:color w:val="000000"/>
          <w:sz w:val="24"/>
          <w:szCs w:val="28"/>
          <w:lang w:val="en-US"/>
        </w:rPr>
      </w:pPr>
      <w:r>
        <w:rPr>
          <w:rFonts w:hint="eastAsia" w:hAnsi="黑体" w:cs="黑体"/>
          <w:b/>
          <w:color w:val="000000"/>
          <w:sz w:val="24"/>
          <w:szCs w:val="28"/>
          <w:lang w:val="en-US"/>
        </w:rPr>
        <w:t>项目概况与采购内容</w:t>
      </w:r>
    </w:p>
    <w:p>
      <w:pPr>
        <w:numPr>
          <w:ilvl w:val="1"/>
          <w:numId w:val="1"/>
        </w:numPr>
        <w:autoSpaceDE/>
        <w:autoSpaceDN/>
        <w:spacing w:line="360" w:lineRule="auto"/>
        <w:rPr>
          <w:rFonts w:hAnsi="Times New Roman" w:cs="Times New Roman"/>
          <w:kern w:val="2"/>
          <w:sz w:val="24"/>
          <w:szCs w:val="24"/>
          <w:lang w:val="en-US" w:bidi="ar-SA"/>
        </w:rPr>
      </w:pPr>
      <w:r>
        <w:rPr>
          <w:rFonts w:hint="eastAsia" w:hAnsi="黑体" w:cs="黑体"/>
          <w:color w:val="000000"/>
          <w:sz w:val="24"/>
          <w:szCs w:val="24"/>
          <w:lang w:val="en-US"/>
        </w:rPr>
        <w:t>项目</w:t>
      </w:r>
      <w:r>
        <w:rPr>
          <w:rFonts w:hint="eastAsia" w:hAnsi="Times New Roman" w:cs="Times New Roman"/>
          <w:kern w:val="2"/>
          <w:sz w:val="24"/>
          <w:szCs w:val="24"/>
          <w:lang w:val="en-US" w:bidi="ar-SA"/>
        </w:rPr>
        <w:t>概况</w:t>
      </w:r>
    </w:p>
    <w:p>
      <w:pPr>
        <w:autoSpaceDE/>
        <w:autoSpaceDN/>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渠县蜀物致远物流发展有限公司是四川蜀道物流集团有限公司全资子公司，省属国有企业，成立于2020年10月14日，注册资金5000万元，注册地址为四川省达州市渠县天星镇街道办滨江社区怡康路68号。建设场地位于四川省达州市渠县渠北镇双桥村四组，渠县黄花大道西侧，距南大梁高速公路渠县收费站西南侧约100m。</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项目总投资约</w:t>
      </w:r>
      <w:r>
        <w:rPr>
          <w:rFonts w:hAnsi="Times New Roman" w:cs="Times New Roman"/>
          <w:kern w:val="2"/>
          <w:sz w:val="24"/>
          <w:szCs w:val="24"/>
          <w:lang w:val="en-US" w:bidi="ar-SA"/>
        </w:rPr>
        <w:t>3.29亿元，其中建安费用2.44亿元，项目总建设用地约203亩，主要建筑物建筑面积58769.87㎡，项目主要业态包括集运分拨一层15166.31㎡、智联云仓一层11566.62㎡、冷链加工一层15777.43㎡、综合楼五层5429.22㎡、配套商业二层8471.82㎡、展销中心二层873.43㎡、加油加气站站房二层393.76㎡、加油加气站罩棚一层528㎡、设备用房一层447.6㎡、门卫一层92.12㎡等，项目建设均无地下室，服务范围以川东北为中心，面向全国，构建“一核一副四组团”的空间。</w:t>
      </w:r>
    </w:p>
    <w:p>
      <w:pPr>
        <w:numPr>
          <w:ilvl w:val="1"/>
          <w:numId w:val="1"/>
        </w:numPr>
        <w:autoSpaceDE/>
        <w:autoSpaceDN/>
        <w:spacing w:line="360" w:lineRule="auto"/>
        <w:rPr>
          <w:rFonts w:hAnsi="Times New Roman" w:cs="Times New Roman"/>
          <w:kern w:val="2"/>
          <w:sz w:val="24"/>
          <w:szCs w:val="24"/>
          <w:lang w:val="en-US" w:bidi="ar-SA"/>
        </w:rPr>
      </w:pPr>
      <w:r>
        <w:rPr>
          <w:rFonts w:hint="eastAsia" w:hAnsi="Times New Roman" w:cs="Times New Roman"/>
          <w:kern w:val="2"/>
          <w:sz w:val="24"/>
          <w:szCs w:val="24"/>
          <w:lang w:val="en-US" w:bidi="ar-SA"/>
        </w:rPr>
        <w:t>采购内容</w:t>
      </w:r>
    </w:p>
    <w:p>
      <w:pPr>
        <w:numPr>
          <w:ilvl w:val="2"/>
          <w:numId w:val="1"/>
        </w:numPr>
        <w:autoSpaceDE/>
        <w:autoSpaceDN/>
        <w:spacing w:line="360" w:lineRule="auto"/>
        <w:ind w:left="993"/>
        <w:rPr>
          <w:sz w:val="24"/>
          <w:szCs w:val="24"/>
          <w:lang w:val="en-US" w:bidi="ar-SA"/>
        </w:rPr>
      </w:pPr>
      <w:r>
        <w:rPr>
          <w:rFonts w:hint="eastAsia"/>
          <w:sz w:val="24"/>
          <w:szCs w:val="24"/>
          <w:lang w:val="en-US" w:bidi="ar-SA"/>
        </w:rPr>
        <w:t>采购预估规模</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本项目总体采购预算为</w:t>
      </w:r>
      <w:r>
        <w:rPr>
          <w:rFonts w:hAnsi="Times New Roman" w:cs="Times New Roman"/>
          <w:kern w:val="2"/>
          <w:sz w:val="24"/>
          <w:szCs w:val="24"/>
          <w:lang w:val="en-US" w:bidi="ar-SA"/>
        </w:rPr>
        <w:t>4</w:t>
      </w:r>
      <w:r>
        <w:rPr>
          <w:rFonts w:hint="eastAsia" w:hAnsi="Times New Roman" w:cs="Times New Roman"/>
          <w:kern w:val="2"/>
          <w:sz w:val="24"/>
          <w:szCs w:val="24"/>
          <w:lang w:val="en-US" w:bidi="ar-SA"/>
        </w:rPr>
        <w:t>0万元（含税）。</w:t>
      </w:r>
    </w:p>
    <w:p>
      <w:pPr>
        <w:numPr>
          <w:ilvl w:val="2"/>
          <w:numId w:val="1"/>
        </w:numPr>
        <w:autoSpaceDE/>
        <w:autoSpaceDN/>
        <w:spacing w:line="360" w:lineRule="auto"/>
        <w:ind w:left="993"/>
        <w:rPr>
          <w:sz w:val="24"/>
          <w:szCs w:val="24"/>
          <w:lang w:val="en-US" w:bidi="ar-SA"/>
        </w:rPr>
      </w:pPr>
      <w:r>
        <w:rPr>
          <w:rFonts w:hint="eastAsia"/>
          <w:sz w:val="24"/>
          <w:szCs w:val="24"/>
          <w:lang w:val="en-US" w:bidi="ar-SA"/>
        </w:rPr>
        <w:t>采购内容</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1）工程结算审计：按照国家法律、法规和规章制度，对标段所对应的本项目进行工程结算审计，对项目招投标、投资完成情况、工程质量、施工单位和其他参建单位履职履约等内容进行审计。结算审计应在被审计单位审核认定的范围和数据基础上进行全面审计，最终形成工程造价结算审计结论和竣工结算审计结论，并要求所有审计结论必须有审计取证和审计工作底稿作为支撑，对出具的结算审计结论负责。</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2）财务决算审计：按照国家法律、法规和规章制度，对标段所对应的本项目进行财务决算审计，完成工程招投标、项目资金的筹集、拨付、使用、结算、项目计划、立项审批、征地拆迁、实施进度等审计工作，以及对项目概算节约、工期提前、提高绩效、规范管理和制度完善等情况的分析工作，确保项目审计完整性。财务审计应在被审计单位审核认定的范围和数据基础上进行全面审计，最终形成竣工决算审计结论，且对形成的结论负责。所有审计结论必须有审计取证和审计工作底稿作为支撑。</w:t>
      </w:r>
    </w:p>
    <w:p>
      <w:pPr>
        <w:numPr>
          <w:ilvl w:val="2"/>
          <w:numId w:val="1"/>
        </w:numPr>
        <w:autoSpaceDE/>
        <w:autoSpaceDN/>
        <w:spacing w:line="360" w:lineRule="auto"/>
        <w:ind w:left="993"/>
        <w:rPr>
          <w:sz w:val="24"/>
          <w:szCs w:val="24"/>
          <w:lang w:val="en-US" w:bidi="ar-SA"/>
        </w:rPr>
      </w:pPr>
      <w:r>
        <w:rPr>
          <w:rFonts w:hint="eastAsia"/>
          <w:sz w:val="24"/>
          <w:szCs w:val="24"/>
          <w:lang w:val="en-US" w:bidi="ar-SA"/>
        </w:rPr>
        <w:t>服务地点</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四川省达州市渠县渠北镇双桥村四组。</w:t>
      </w:r>
    </w:p>
    <w:p>
      <w:pPr>
        <w:numPr>
          <w:ilvl w:val="2"/>
          <w:numId w:val="1"/>
        </w:numPr>
        <w:autoSpaceDE/>
        <w:autoSpaceDN/>
        <w:spacing w:line="360" w:lineRule="auto"/>
        <w:ind w:left="993"/>
        <w:rPr>
          <w:sz w:val="24"/>
          <w:szCs w:val="24"/>
          <w:lang w:val="en-US" w:bidi="ar-SA"/>
        </w:rPr>
      </w:pPr>
      <w:r>
        <w:rPr>
          <w:rFonts w:hint="eastAsia"/>
          <w:sz w:val="24"/>
          <w:szCs w:val="24"/>
          <w:lang w:val="en-US" w:bidi="ar-SA"/>
        </w:rPr>
        <w:t>服务期限</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（1）工程结算审计计划服务期限为进场后90日历天。</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（2）财务决算审计计划服务期限为进场后90日历天。</w:t>
      </w:r>
    </w:p>
    <w:p>
      <w:pPr>
        <w:numPr>
          <w:ilvl w:val="1"/>
          <w:numId w:val="1"/>
        </w:numPr>
        <w:autoSpaceDE/>
        <w:autoSpaceDN/>
        <w:spacing w:line="360" w:lineRule="auto"/>
        <w:rPr>
          <w:rFonts w:hAnsi="Times New Roman" w:cs="Times New Roman"/>
          <w:kern w:val="2"/>
          <w:sz w:val="24"/>
          <w:szCs w:val="24"/>
          <w:lang w:val="en-US" w:bidi="ar-SA"/>
        </w:rPr>
      </w:pPr>
      <w:r>
        <w:rPr>
          <w:rFonts w:hint="eastAsia" w:hAnsi="Times New Roman" w:cs="Times New Roman"/>
          <w:kern w:val="2"/>
          <w:sz w:val="24"/>
          <w:szCs w:val="24"/>
          <w:lang w:val="en-US" w:bidi="ar-SA"/>
        </w:rPr>
        <w:t>标段划分</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本项目划分2个标段：标段1（工程结算审计服务）、标段2（财务决算审计服务）。每个标段选取1名中选人。本项目允许比选申请人同时中选的最多标段数为</w:t>
      </w:r>
      <w:r>
        <w:rPr>
          <w:rFonts w:hAnsi="Times New Roman" w:cs="Times New Roman"/>
          <w:kern w:val="2"/>
          <w:sz w:val="24"/>
          <w:szCs w:val="24"/>
          <w:lang w:val="en-US" w:bidi="ar-SA"/>
        </w:rPr>
        <w:t>1个</w:t>
      </w:r>
      <w:r>
        <w:rPr>
          <w:rFonts w:hint="eastAsia" w:hAnsi="Times New Roman" w:cs="Times New Roman"/>
          <w:kern w:val="2"/>
          <w:sz w:val="24"/>
          <w:szCs w:val="24"/>
          <w:lang w:val="en-US" w:bidi="ar-SA"/>
        </w:rPr>
        <w:t>。</w:t>
      </w:r>
    </w:p>
    <w:p>
      <w:pPr>
        <w:numPr>
          <w:ilvl w:val="1"/>
          <w:numId w:val="1"/>
        </w:numPr>
        <w:autoSpaceDE/>
        <w:autoSpaceDN/>
        <w:spacing w:line="360" w:lineRule="auto"/>
        <w:rPr>
          <w:rFonts w:hAnsi="Times New Roman" w:cs="Times New Roman"/>
          <w:kern w:val="2"/>
          <w:sz w:val="24"/>
          <w:szCs w:val="24"/>
          <w:lang w:val="en-US" w:bidi="ar-SA"/>
        </w:rPr>
      </w:pPr>
      <w:r>
        <w:rPr>
          <w:rFonts w:hint="eastAsia" w:hAnsi="Times New Roman" w:cs="Times New Roman"/>
          <w:kern w:val="2"/>
          <w:sz w:val="24"/>
          <w:szCs w:val="24"/>
          <w:lang w:val="en-US" w:bidi="ar-SA"/>
        </w:rPr>
        <w:t>最高限价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721"/>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标段划分</w:t>
            </w:r>
          </w:p>
        </w:tc>
        <w:tc>
          <w:tcPr>
            <w:tcW w:w="2721"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服务内容</w:t>
            </w:r>
          </w:p>
        </w:tc>
        <w:tc>
          <w:tcPr>
            <w:tcW w:w="2265"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含税最高限价</w:t>
            </w:r>
          </w:p>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（万元）</w:t>
            </w:r>
          </w:p>
        </w:tc>
        <w:tc>
          <w:tcPr>
            <w:tcW w:w="2265"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中选人数量（名）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标段1</w:t>
            </w:r>
          </w:p>
        </w:tc>
        <w:tc>
          <w:tcPr>
            <w:tcW w:w="2721" w:type="dxa"/>
            <w:vAlign w:val="center"/>
          </w:tcPr>
          <w:p>
            <w:pPr>
              <w:pStyle w:val="2"/>
              <w:jc w:val="center"/>
              <w:rPr>
                <w:rFonts w:ascii="仿宋_GB2312" w:eastAsia="仿宋_GB2312"/>
                <w:sz w:val="24"/>
                <w:szCs w:val="24"/>
                <w:lang w:val="en-US" w:bidi="ar-SA"/>
              </w:rPr>
            </w:pPr>
            <w:r>
              <w:rPr>
                <w:rFonts w:hint="eastAsia" w:ascii="仿宋_GB2312" w:eastAsia="仿宋_GB2312"/>
                <w:kern w:val="2"/>
                <w:sz w:val="24"/>
                <w:szCs w:val="24"/>
                <w:lang w:val="en-US" w:bidi="ar-SA"/>
              </w:rPr>
              <w:t>工程结算审计</w:t>
            </w:r>
          </w:p>
        </w:tc>
        <w:tc>
          <w:tcPr>
            <w:tcW w:w="2265"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3</w:t>
            </w:r>
            <w:r>
              <w:rPr>
                <w:rFonts w:ascii="仿宋_GB2312" w:eastAsia="仿宋_GB2312"/>
                <w:sz w:val="24"/>
                <w:szCs w:val="24"/>
                <w:lang w:val="en-US" w:bidi="ar-SA"/>
              </w:rPr>
              <w:t>5</w:t>
            </w:r>
          </w:p>
        </w:tc>
        <w:tc>
          <w:tcPr>
            <w:tcW w:w="2265"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标段2</w:t>
            </w:r>
          </w:p>
        </w:tc>
        <w:tc>
          <w:tcPr>
            <w:tcW w:w="2721" w:type="dxa"/>
            <w:vAlign w:val="center"/>
          </w:tcPr>
          <w:p>
            <w:pPr>
              <w:pStyle w:val="2"/>
              <w:jc w:val="center"/>
              <w:rPr>
                <w:rFonts w:ascii="仿宋_GB2312" w:eastAsia="仿宋_GB2312"/>
                <w:sz w:val="24"/>
                <w:szCs w:val="24"/>
                <w:lang w:val="en-US" w:bidi="ar-SA"/>
              </w:rPr>
            </w:pPr>
            <w:r>
              <w:rPr>
                <w:rFonts w:hint="eastAsia" w:ascii="仿宋_GB2312" w:eastAsia="仿宋_GB2312"/>
                <w:kern w:val="2"/>
                <w:sz w:val="24"/>
                <w:szCs w:val="24"/>
                <w:lang w:val="en-US" w:bidi="ar-SA"/>
              </w:rPr>
              <w:t>财务决算审计</w:t>
            </w:r>
          </w:p>
        </w:tc>
        <w:tc>
          <w:tcPr>
            <w:tcW w:w="2265"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5</w:t>
            </w:r>
          </w:p>
        </w:tc>
        <w:tc>
          <w:tcPr>
            <w:tcW w:w="2265" w:type="dxa"/>
            <w:vAlign w:val="center"/>
          </w:tcPr>
          <w:p>
            <w:pPr>
              <w:pStyle w:val="2"/>
              <w:jc w:val="center"/>
              <w:rPr>
                <w:rFonts w:ascii="仿宋_GB2312" w:eastAsia="仿宋_GB2312"/>
                <w:sz w:val="24"/>
                <w:szCs w:val="24"/>
                <w:lang w:val="en-US" w:bidi="ar-SA"/>
              </w:rPr>
            </w:pPr>
            <w:r>
              <w:rPr>
                <w:rFonts w:hint="eastAsia" w:ascii="仿宋_GB2312" w:eastAsia="仿宋_GB2312"/>
                <w:sz w:val="24"/>
                <w:szCs w:val="24"/>
                <w:lang w:val="en-US" w:bidi="ar-SA"/>
              </w:rPr>
              <w:t>1</w:t>
            </w:r>
          </w:p>
        </w:tc>
      </w:tr>
    </w:tbl>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本项目设置最高限价，比选申请人参选报价高于最高限价的，其参选将被否决。</w:t>
      </w:r>
    </w:p>
    <w:p>
      <w:pPr>
        <w:numPr>
          <w:ilvl w:val="0"/>
          <w:numId w:val="1"/>
        </w:numPr>
        <w:autoSpaceDE/>
        <w:autoSpaceDN/>
        <w:spacing w:line="360" w:lineRule="auto"/>
        <w:ind w:left="0" w:firstLine="0"/>
        <w:rPr>
          <w:rFonts w:hAnsi="黑体" w:cs="黑体"/>
          <w:b/>
          <w:color w:val="000000"/>
          <w:sz w:val="24"/>
          <w:szCs w:val="24"/>
          <w:lang w:val="en-US"/>
        </w:rPr>
      </w:pPr>
      <w:r>
        <w:rPr>
          <w:rFonts w:hint="eastAsia" w:hAnsi="黑体" w:cs="黑体"/>
          <w:b/>
          <w:color w:val="000000"/>
          <w:sz w:val="24"/>
          <w:szCs w:val="24"/>
          <w:lang w:val="en-US"/>
        </w:rPr>
        <w:t>比选申请人资格要求</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主体要求：</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标段1：中国境内依法注册的法人机构或依法设立的合伙制企业，持有有效营业执照、基本账户开户许可证或基本存款帐户信息。</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标段2：中国境内依法注册的法人机构或依法设立的合伙制企业，持有有效营业执照、财政部门颁发的会计师事务所执业证书。</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业绩要求：</w:t>
      </w:r>
    </w:p>
    <w:p>
      <w:pPr>
        <w:spacing w:line="360" w:lineRule="auto"/>
        <w:ind w:firstLine="480" w:firstLineChars="200"/>
        <w:rPr>
          <w:sz w:val="24"/>
          <w:szCs w:val="24"/>
          <w:lang w:val="en-US" w:bidi="ar-SA"/>
        </w:rPr>
      </w:pPr>
      <w:r>
        <w:rPr>
          <w:rFonts w:hint="eastAsia" w:hAnsi="Times New Roman" w:cs="Times New Roman"/>
          <w:kern w:val="2"/>
          <w:sz w:val="24"/>
          <w:szCs w:val="24"/>
          <w:lang w:val="en-US" w:bidi="ar-SA"/>
        </w:rPr>
        <w:t>标段1：近三年（20</w:t>
      </w:r>
      <w:r>
        <w:rPr>
          <w:rFonts w:hAnsi="Times New Roman" w:cs="Times New Roman"/>
          <w:kern w:val="2"/>
          <w:sz w:val="24"/>
          <w:szCs w:val="24"/>
          <w:lang w:val="en-US" w:bidi="ar-SA"/>
        </w:rPr>
        <w:t>20</w:t>
      </w:r>
      <w:r>
        <w:rPr>
          <w:rFonts w:hint="eastAsia" w:hAnsi="Times New Roman" w:cs="Times New Roman"/>
          <w:kern w:val="2"/>
          <w:sz w:val="24"/>
          <w:szCs w:val="24"/>
          <w:lang w:val="en-US" w:bidi="ar-SA"/>
        </w:rPr>
        <w:t>年1月1日起，以签订合同时间为准）至少独立承担过一个类似项目（物流园区建设类或房建类）审计范围内投资金额或送审金额不低于人民币</w:t>
      </w:r>
      <w:r>
        <w:rPr>
          <w:rFonts w:hAnsi="Times New Roman" w:cs="Times New Roman"/>
          <w:kern w:val="2"/>
          <w:sz w:val="24"/>
          <w:szCs w:val="24"/>
          <w:lang w:val="en-US" w:bidi="ar-SA"/>
        </w:rPr>
        <w:t>2</w:t>
      </w:r>
      <w:r>
        <w:rPr>
          <w:rFonts w:hint="eastAsia" w:hAnsi="Times New Roman" w:cs="Times New Roman"/>
          <w:kern w:val="2"/>
          <w:sz w:val="24"/>
          <w:szCs w:val="24"/>
          <w:lang w:val="en-US" w:bidi="ar-SA"/>
        </w:rPr>
        <w:t>亿元（含）的竣工工程结算审计（核）。</w:t>
      </w:r>
    </w:p>
    <w:p>
      <w:pPr>
        <w:spacing w:line="360" w:lineRule="auto"/>
        <w:ind w:firstLine="480" w:firstLineChars="200"/>
        <w:rPr>
          <w:rFonts w:hAnsi="Times New Roman" w:cs="Times New Roman"/>
          <w:kern w:val="2"/>
          <w:sz w:val="24"/>
          <w:szCs w:val="24"/>
          <w:lang w:val="en-US" w:bidi="ar-SA"/>
        </w:rPr>
      </w:pPr>
      <w:r>
        <w:rPr>
          <w:rFonts w:hint="eastAsia"/>
          <w:sz w:val="24"/>
          <w:szCs w:val="24"/>
          <w:lang w:val="en-US" w:bidi="ar-SA"/>
        </w:rPr>
        <w:t>标段2</w:t>
      </w:r>
      <w:r>
        <w:rPr>
          <w:rFonts w:hint="eastAsia" w:hAnsi="Times New Roman" w:cs="Times New Roman"/>
          <w:kern w:val="2"/>
          <w:sz w:val="24"/>
          <w:szCs w:val="24"/>
          <w:lang w:val="en-US" w:bidi="ar-SA"/>
        </w:rPr>
        <w:t>：近三年（20</w:t>
      </w:r>
      <w:r>
        <w:rPr>
          <w:rFonts w:hAnsi="Times New Roman" w:cs="Times New Roman"/>
          <w:kern w:val="2"/>
          <w:sz w:val="24"/>
          <w:szCs w:val="24"/>
          <w:lang w:val="en-US" w:bidi="ar-SA"/>
        </w:rPr>
        <w:t>20</w:t>
      </w:r>
      <w:r>
        <w:rPr>
          <w:rFonts w:hint="eastAsia" w:hAnsi="Times New Roman" w:cs="Times New Roman"/>
          <w:kern w:val="2"/>
          <w:sz w:val="24"/>
          <w:szCs w:val="24"/>
          <w:lang w:val="en-US" w:bidi="ar-SA"/>
        </w:rPr>
        <w:t>年1月1日起，以签订合同时间为准）至少独立承担过一个类似项目（物流园区建设类或房建类）审计范围内投资金额或送审金额不低于人民币3亿元（含）的竣工财务决算审计。</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项目负责人：</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标段1：项目负责人1名。应同时具有</w:t>
      </w:r>
      <w:r>
        <w:rPr>
          <w:rFonts w:hint="eastAsia" w:hAnsi="宋体" w:cs="宋体"/>
          <w:kern w:val="2"/>
          <w:sz w:val="24"/>
          <w:szCs w:val="24"/>
          <w:lang w:val="en-US" w:bidi="ar-SA"/>
        </w:rPr>
        <w:t>①</w:t>
      </w:r>
      <w:r>
        <w:rPr>
          <w:rFonts w:hint="eastAsia" w:hAnsi="Times New Roman" w:cs="Times New Roman"/>
          <w:kern w:val="2"/>
          <w:sz w:val="24"/>
          <w:szCs w:val="24"/>
          <w:lang w:val="en-US" w:bidi="ar-SA"/>
        </w:rPr>
        <w:t>一级注册造价师（土木建筑工程）执业资格；</w:t>
      </w:r>
      <w:r>
        <w:rPr>
          <w:rFonts w:hint="eastAsia" w:hAnsi="宋体" w:cs="宋体"/>
          <w:kern w:val="2"/>
          <w:sz w:val="24"/>
          <w:szCs w:val="24"/>
          <w:lang w:val="en-US" w:bidi="ar-SA"/>
        </w:rPr>
        <w:t>②</w:t>
      </w:r>
      <w:r>
        <w:rPr>
          <w:rFonts w:hint="eastAsia" w:hAnsi="Times New Roman" w:cs="Times New Roman"/>
          <w:kern w:val="2"/>
          <w:sz w:val="24"/>
          <w:szCs w:val="24"/>
          <w:lang w:val="en-US" w:bidi="ar-SA"/>
        </w:rPr>
        <w:t>参选截止期日起上月或上上月前连续</w:t>
      </w:r>
      <w:r>
        <w:rPr>
          <w:rFonts w:hAnsi="Times New Roman" w:cs="Times New Roman"/>
          <w:kern w:val="2"/>
          <w:sz w:val="24"/>
          <w:szCs w:val="24"/>
          <w:lang w:val="en-US" w:bidi="ar-SA"/>
        </w:rPr>
        <w:t>3</w:t>
      </w:r>
      <w:r>
        <w:rPr>
          <w:rFonts w:hint="eastAsia" w:hAnsi="Times New Roman" w:cs="Times New Roman"/>
          <w:kern w:val="2"/>
          <w:sz w:val="24"/>
          <w:szCs w:val="24"/>
          <w:lang w:val="en-US" w:bidi="ar-SA"/>
        </w:rPr>
        <w:t>个月在该比选申请单位的社保部门出具的养老保险证明材料。</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标段2：项目负责人1名。应同时具有</w:t>
      </w:r>
      <w:r>
        <w:rPr>
          <w:rFonts w:hint="eastAsia" w:hAnsi="宋体" w:cs="宋体"/>
          <w:kern w:val="2"/>
          <w:sz w:val="24"/>
          <w:szCs w:val="24"/>
          <w:lang w:val="en-US" w:bidi="ar-SA"/>
        </w:rPr>
        <w:t>①</w:t>
      </w:r>
      <w:r>
        <w:rPr>
          <w:rFonts w:hint="eastAsia" w:hAnsi="Times New Roman" w:cs="Times New Roman"/>
          <w:kern w:val="2"/>
          <w:sz w:val="24"/>
          <w:szCs w:val="24"/>
          <w:lang w:val="en-US" w:bidi="ar-SA"/>
        </w:rPr>
        <w:t>注册会计师执业资格；</w:t>
      </w:r>
      <w:r>
        <w:rPr>
          <w:rFonts w:hint="eastAsia" w:hAnsi="宋体" w:cs="宋体"/>
          <w:kern w:val="2"/>
          <w:sz w:val="24"/>
          <w:szCs w:val="24"/>
          <w:lang w:val="en-US" w:bidi="ar-SA"/>
        </w:rPr>
        <w:t>②</w:t>
      </w:r>
      <w:r>
        <w:rPr>
          <w:rFonts w:hint="eastAsia" w:hAnsi="Times New Roman" w:cs="Times New Roman"/>
          <w:kern w:val="2"/>
          <w:sz w:val="24"/>
          <w:szCs w:val="24"/>
          <w:lang w:val="en-US" w:bidi="ar-SA"/>
        </w:rPr>
        <w:t>参选截止期日起上月或上上月前连续</w:t>
      </w:r>
      <w:r>
        <w:rPr>
          <w:rFonts w:hAnsi="Times New Roman" w:cs="Times New Roman"/>
          <w:kern w:val="2"/>
          <w:sz w:val="24"/>
          <w:szCs w:val="24"/>
          <w:lang w:val="en-US" w:bidi="ar-SA"/>
        </w:rPr>
        <w:t>3</w:t>
      </w:r>
      <w:r>
        <w:rPr>
          <w:rFonts w:hint="eastAsia" w:hAnsi="Times New Roman" w:cs="Times New Roman"/>
          <w:kern w:val="2"/>
          <w:sz w:val="24"/>
          <w:szCs w:val="24"/>
          <w:lang w:val="en-US" w:bidi="ar-SA"/>
        </w:rPr>
        <w:t>个月在该比选申请单位的社保部门出具的养老保险证明材料。</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信誉要求：</w:t>
      </w:r>
    </w:p>
    <w:p>
      <w:pPr>
        <w:spacing w:line="360" w:lineRule="auto"/>
        <w:ind w:firstLine="480" w:firstLineChars="200"/>
        <w:rPr>
          <w:rFonts w:hAnsi="Times New Roman" w:cs="Times New Roman"/>
          <w:kern w:val="2"/>
          <w:sz w:val="24"/>
          <w:szCs w:val="24"/>
          <w:lang w:val="en-US" w:bidi="ar-SA"/>
        </w:rPr>
      </w:pPr>
      <w:r>
        <w:rPr>
          <w:rFonts w:hint="eastAsia" w:hAnsi="宋体" w:cs="宋体"/>
          <w:kern w:val="2"/>
          <w:sz w:val="24"/>
          <w:szCs w:val="24"/>
          <w:lang w:val="en-US" w:bidi="ar-SA"/>
        </w:rPr>
        <w:t>①</w:t>
      </w:r>
      <w:r>
        <w:rPr>
          <w:rFonts w:hint="eastAsia" w:hAnsi="Times New Roman" w:cs="Times New Roman"/>
          <w:kern w:val="2"/>
          <w:sz w:val="24"/>
          <w:szCs w:val="24"/>
          <w:lang w:val="en-US" w:bidi="ar-SA"/>
        </w:rPr>
        <w:t>比选申请人在国家企业信用信息公示系统（http//</w:t>
      </w:r>
      <w:r>
        <w:fldChar w:fldCharType="begin"/>
      </w:r>
      <w:r>
        <w:instrText xml:space="preserve"> HYPERLINK "http://www.gsxt.gov.cn/" \h </w:instrText>
      </w:r>
      <w:r>
        <w:fldChar w:fldCharType="separate"/>
      </w:r>
      <w:r>
        <w:rPr>
          <w:rFonts w:hint="eastAsia" w:hAnsi="Times New Roman" w:cs="Times New Roman"/>
          <w:kern w:val="2"/>
          <w:sz w:val="24"/>
          <w:szCs w:val="24"/>
          <w:lang w:val="en-US" w:bidi="ar-SA"/>
        </w:rPr>
        <w:t>www.gsxt.gov.cn</w:t>
      </w:r>
      <w:r>
        <w:rPr>
          <w:rFonts w:hint="eastAsia" w:hAnsi="Times New Roman" w:cs="Times New Roman"/>
          <w:kern w:val="2"/>
          <w:sz w:val="24"/>
          <w:szCs w:val="24"/>
          <w:lang w:val="en-US" w:bidi="ar-SA"/>
        </w:rPr>
        <w:fldChar w:fldCharType="end"/>
      </w:r>
      <w:r>
        <w:rPr>
          <w:rFonts w:hint="eastAsia" w:hAnsi="Times New Roman" w:cs="Times New Roman"/>
          <w:kern w:val="2"/>
          <w:sz w:val="24"/>
          <w:szCs w:val="24"/>
          <w:lang w:val="en-US" w:bidi="ar-SA"/>
        </w:rPr>
        <w:t>）中未被列入严重违法失信企业名单；</w:t>
      </w:r>
    </w:p>
    <w:p>
      <w:pPr>
        <w:spacing w:line="360" w:lineRule="auto"/>
        <w:ind w:firstLine="480" w:firstLineChars="200"/>
        <w:rPr>
          <w:rFonts w:hAnsi="Times New Roman" w:cs="Times New Roman"/>
          <w:kern w:val="2"/>
          <w:sz w:val="24"/>
          <w:szCs w:val="24"/>
          <w:lang w:val="en-US" w:bidi="ar-SA"/>
        </w:rPr>
      </w:pPr>
      <w:r>
        <w:rPr>
          <w:rFonts w:hint="eastAsia" w:hAnsi="宋体" w:cs="宋体"/>
          <w:kern w:val="2"/>
          <w:sz w:val="24"/>
          <w:szCs w:val="24"/>
          <w:lang w:val="en-US" w:bidi="ar-SA"/>
        </w:rPr>
        <w:t>②</w:t>
      </w:r>
      <w:r>
        <w:rPr>
          <w:rFonts w:hint="eastAsia" w:hAnsi="Times New Roman" w:cs="Times New Roman"/>
          <w:kern w:val="2"/>
          <w:sz w:val="24"/>
          <w:szCs w:val="24"/>
          <w:lang w:val="en-US" w:bidi="ar-SA"/>
        </w:rPr>
        <w:t>比选申请人在“信用中国”网站（https://www.creditchina.gov.cn/）中未被列入失信被执行人名单（通过“信用中国”-“信用服务”-“失信被执行人”- “中国执行信息公开网”查询）；</w:t>
      </w:r>
    </w:p>
    <w:p>
      <w:pPr>
        <w:spacing w:line="360" w:lineRule="auto"/>
        <w:ind w:firstLine="480" w:firstLineChars="200"/>
        <w:rPr>
          <w:rFonts w:hAnsi="Times New Roman" w:cs="Times New Roman"/>
          <w:kern w:val="2"/>
          <w:sz w:val="24"/>
          <w:szCs w:val="24"/>
          <w:lang w:val="en-US" w:bidi="ar-SA"/>
        </w:rPr>
      </w:pPr>
      <w:r>
        <w:rPr>
          <w:rFonts w:hint="eastAsia" w:hAnsi="宋体" w:cs="宋体"/>
          <w:kern w:val="2"/>
          <w:sz w:val="24"/>
          <w:szCs w:val="24"/>
          <w:lang w:val="en-US" w:bidi="ar-SA"/>
        </w:rPr>
        <w:t>③</w:t>
      </w:r>
      <w:r>
        <w:rPr>
          <w:rFonts w:hint="eastAsia" w:hAnsi="Times New Roman" w:cs="Times New Roman"/>
          <w:kern w:val="2"/>
          <w:sz w:val="24"/>
          <w:szCs w:val="24"/>
          <w:lang w:val="en-US" w:bidi="ar-SA"/>
        </w:rPr>
        <w:t>比选申请人及法定代表人、拟委任的项目负责人近三年（2020年1月1日至比选申请文件递交截止时间前一天）均无行贿犯罪档案记录（通过“中国裁判文书网”网站（https://wenshu.court.gov.cn/）-“高级检索”-“案由”-“刑事案由”-“贪污贿赂罪”-“贪污贿赂罪”查询）。</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本项目不接受联合体参选。</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不允许转包或违法分包。</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比选申请人单位负责人为同一人或者存在控股、管理关系的不同单位，不得同时参加同一标段参选。</w:t>
      </w:r>
    </w:p>
    <w:p>
      <w:pPr>
        <w:numPr>
          <w:ilvl w:val="0"/>
          <w:numId w:val="1"/>
        </w:numPr>
        <w:autoSpaceDE/>
        <w:autoSpaceDN/>
        <w:spacing w:line="360" w:lineRule="auto"/>
        <w:ind w:left="0" w:firstLine="0"/>
        <w:rPr>
          <w:rFonts w:hAnsi="黑体" w:cs="黑体"/>
          <w:b/>
          <w:color w:val="000000"/>
          <w:sz w:val="24"/>
          <w:szCs w:val="24"/>
          <w:lang w:val="en-US"/>
        </w:rPr>
      </w:pPr>
      <w:r>
        <w:rPr>
          <w:rFonts w:hint="eastAsia" w:hAnsi="黑体" w:cs="黑体"/>
          <w:b/>
          <w:sz w:val="24"/>
          <w:szCs w:val="24"/>
        </w:rPr>
        <w:t>评审办法</w:t>
      </w:r>
    </w:p>
    <w:p>
      <w:pPr>
        <w:autoSpaceDE/>
        <w:autoSpaceDN/>
        <w:spacing w:line="360" w:lineRule="auto"/>
        <w:ind w:firstLine="424" w:firstLineChars="177"/>
        <w:rPr>
          <w:rFonts w:hAnsi="Times New Roman" w:cs="Times New Roman"/>
          <w:kern w:val="2"/>
          <w:sz w:val="24"/>
          <w:szCs w:val="24"/>
          <w:lang w:val="en-US" w:bidi="ar-SA"/>
        </w:rPr>
      </w:pPr>
      <w:r>
        <w:rPr>
          <w:rFonts w:hint="eastAsia" w:hAnsi="Times New Roman" w:cs="Times New Roman"/>
          <w:kern w:val="2"/>
          <w:sz w:val="24"/>
          <w:szCs w:val="24"/>
          <w:lang w:val="en-US" w:bidi="ar-SA"/>
        </w:rPr>
        <w:t>本项目采用综合评分法。评审标准和内容见比选文件第四章“比选办法”，凡未通过初步评审的比选申请人，其参选将被否决。</w:t>
      </w:r>
    </w:p>
    <w:p>
      <w:pPr>
        <w:numPr>
          <w:ilvl w:val="0"/>
          <w:numId w:val="1"/>
        </w:numPr>
        <w:autoSpaceDE/>
        <w:autoSpaceDN/>
        <w:spacing w:line="360" w:lineRule="auto"/>
        <w:ind w:left="0" w:firstLine="0"/>
        <w:rPr>
          <w:rFonts w:hAnsi="黑体" w:cs="黑体"/>
          <w:b/>
          <w:sz w:val="24"/>
          <w:szCs w:val="24"/>
        </w:rPr>
      </w:pPr>
      <w:r>
        <w:rPr>
          <w:rFonts w:hint="eastAsia" w:hAnsi="黑体" w:cs="黑体"/>
          <w:b/>
          <w:sz w:val="24"/>
          <w:szCs w:val="24"/>
        </w:rPr>
        <w:t>比选文件获取</w:t>
      </w:r>
    </w:p>
    <w:p>
      <w:pPr>
        <w:numPr>
          <w:ilvl w:val="1"/>
          <w:numId w:val="1"/>
        </w:numPr>
        <w:wordWrap w:val="0"/>
        <w:autoSpaceDE/>
        <w:autoSpaceDN/>
        <w:spacing w:line="360" w:lineRule="auto"/>
        <w:ind w:left="0" w:firstLine="425"/>
        <w:rPr>
          <w:rFonts w:hAnsi="Times New Roman" w:cs="Times New Roman"/>
          <w:kern w:val="2"/>
          <w:sz w:val="24"/>
          <w:szCs w:val="24"/>
          <w:lang w:val="en-US" w:bidi="ar-SA"/>
        </w:rPr>
      </w:pPr>
      <w:r>
        <w:rPr>
          <w:rFonts w:hint="eastAsia" w:hAnsi="Times New Roman" w:cs="Times New Roman"/>
          <w:kern w:val="2"/>
          <w:sz w:val="24"/>
          <w:szCs w:val="24"/>
          <w:lang w:val="en-US" w:bidi="ar-SA"/>
        </w:rPr>
        <w:t>凡有意参加比选者，请于2023年</w:t>
      </w:r>
      <w:r>
        <w:rPr>
          <w:rFonts w:hAnsi="Times New Roman" w:cs="Times New Roman"/>
          <w:kern w:val="2"/>
          <w:sz w:val="24"/>
          <w:szCs w:val="24"/>
          <w:lang w:val="en-US" w:bidi="ar-SA"/>
        </w:rPr>
        <w:t>3</w:t>
      </w:r>
      <w:r>
        <w:rPr>
          <w:rFonts w:hint="eastAsia" w:hAnsi="Times New Roman" w:cs="Times New Roman"/>
          <w:kern w:val="2"/>
          <w:sz w:val="24"/>
          <w:szCs w:val="24"/>
          <w:lang w:val="en-US" w:bidi="ar-SA"/>
        </w:rPr>
        <w:t>月</w:t>
      </w:r>
      <w:r>
        <w:rPr>
          <w:rFonts w:hAnsi="Times New Roman" w:cs="Times New Roman"/>
          <w:kern w:val="2"/>
          <w:sz w:val="24"/>
          <w:szCs w:val="24"/>
          <w:lang w:val="en-US" w:bidi="ar-SA"/>
        </w:rPr>
        <w:t>23</w:t>
      </w:r>
      <w:r>
        <w:rPr>
          <w:rFonts w:hint="eastAsia" w:hAnsi="Times New Roman" w:cs="Times New Roman"/>
          <w:kern w:val="2"/>
          <w:sz w:val="24"/>
          <w:szCs w:val="24"/>
          <w:lang w:val="en-US" w:bidi="ar-SA"/>
        </w:rPr>
        <w:t>日开始自行在四川蜀道物流集团有限公司官（https://www.shudaowl.com/）、蜀物智采平台（https://scjt.tabe.cn/）免费匿名下载比选文件，比选人不提供其他任何报名和比选文件获取的方式。</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比选文件补遗书（如果有）由比选申请人在四川蜀道物流集团有限公司官网（https://www.shudaowl.com/）、蜀物智采平台（https://scjt.tabe.cn/）上自行查阅和下载。</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numPr>
          <w:ilvl w:val="0"/>
          <w:numId w:val="1"/>
        </w:numPr>
        <w:autoSpaceDE/>
        <w:autoSpaceDN/>
        <w:spacing w:line="360" w:lineRule="auto"/>
        <w:ind w:left="0" w:firstLine="0"/>
        <w:rPr>
          <w:rFonts w:hAnsi="黑体" w:cs="黑体"/>
          <w:b/>
          <w:sz w:val="24"/>
          <w:szCs w:val="24"/>
          <w:lang w:val="en-US"/>
        </w:rPr>
      </w:pPr>
      <w:r>
        <w:rPr>
          <w:rFonts w:hint="eastAsia" w:hAnsi="黑体" w:cs="黑体"/>
          <w:b/>
          <w:sz w:val="24"/>
          <w:szCs w:val="24"/>
        </w:rPr>
        <w:t>比选申请文件递交及开标</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比选申请文件递交截止时间（参选截止时间）：</w:t>
      </w:r>
      <w:r>
        <w:rPr>
          <w:rFonts w:hint="eastAsia" w:hAnsi="Times New Roman" w:cs="Times New Roman"/>
          <w:kern w:val="2"/>
          <w:sz w:val="24"/>
          <w:szCs w:val="24"/>
          <w:u w:val="single"/>
          <w:lang w:val="en-US" w:bidi="ar-SA"/>
        </w:rPr>
        <w:t>2023年</w:t>
      </w:r>
      <w:r>
        <w:rPr>
          <w:rFonts w:hAnsi="Times New Roman" w:cs="Times New Roman"/>
          <w:kern w:val="2"/>
          <w:sz w:val="24"/>
          <w:szCs w:val="24"/>
          <w:u w:val="single"/>
          <w:lang w:val="en-US" w:bidi="ar-SA"/>
        </w:rPr>
        <w:t>4</w:t>
      </w:r>
      <w:r>
        <w:rPr>
          <w:rFonts w:hint="eastAsia" w:hAnsi="Times New Roman" w:cs="Times New Roman"/>
          <w:kern w:val="2"/>
          <w:sz w:val="24"/>
          <w:szCs w:val="24"/>
          <w:u w:val="single"/>
          <w:lang w:val="en-US" w:bidi="ar-SA"/>
        </w:rPr>
        <w:t>月</w:t>
      </w:r>
      <w:r>
        <w:rPr>
          <w:rFonts w:hAnsi="Times New Roman" w:cs="Times New Roman"/>
          <w:kern w:val="2"/>
          <w:sz w:val="24"/>
          <w:szCs w:val="24"/>
          <w:u w:val="single"/>
          <w:lang w:val="en-US" w:bidi="ar-SA"/>
        </w:rPr>
        <w:t>3</w:t>
      </w:r>
      <w:r>
        <w:rPr>
          <w:rFonts w:hint="eastAsia" w:hAnsi="Times New Roman" w:cs="Times New Roman"/>
          <w:kern w:val="2"/>
          <w:sz w:val="24"/>
          <w:szCs w:val="24"/>
          <w:u w:val="single"/>
          <w:lang w:val="en-US" w:bidi="ar-SA"/>
        </w:rPr>
        <w:t>日</w:t>
      </w:r>
      <w:r>
        <w:rPr>
          <w:rFonts w:hAnsi="Times New Roman" w:cs="Times New Roman"/>
          <w:kern w:val="2"/>
          <w:sz w:val="24"/>
          <w:szCs w:val="24"/>
          <w:u w:val="single"/>
          <w:lang w:val="en-US" w:bidi="ar-SA"/>
        </w:rPr>
        <w:t>10</w:t>
      </w:r>
      <w:r>
        <w:rPr>
          <w:rFonts w:hint="eastAsia" w:hAnsi="Times New Roman" w:cs="Times New Roman"/>
          <w:kern w:val="2"/>
          <w:sz w:val="24"/>
          <w:szCs w:val="24"/>
          <w:u w:val="single"/>
          <w:lang w:val="en-US" w:bidi="ar-SA"/>
        </w:rPr>
        <w:t>时0</w:t>
      </w:r>
      <w:r>
        <w:rPr>
          <w:rFonts w:hAnsi="Times New Roman" w:cs="Times New Roman"/>
          <w:kern w:val="2"/>
          <w:sz w:val="24"/>
          <w:szCs w:val="24"/>
          <w:u w:val="single"/>
          <w:lang w:val="en-US" w:bidi="ar-SA"/>
        </w:rPr>
        <w:t>0</w:t>
      </w:r>
      <w:r>
        <w:rPr>
          <w:rFonts w:hint="eastAsia" w:hAnsi="Times New Roman" w:cs="Times New Roman"/>
          <w:kern w:val="2"/>
          <w:sz w:val="24"/>
          <w:szCs w:val="24"/>
          <w:u w:val="single"/>
          <w:lang w:val="en-US" w:bidi="ar-SA"/>
        </w:rPr>
        <w:t>分</w:t>
      </w:r>
      <w:r>
        <w:rPr>
          <w:rFonts w:hint="eastAsia" w:hAnsi="Times New Roman" w:cs="Times New Roman"/>
          <w:kern w:val="2"/>
          <w:sz w:val="24"/>
          <w:szCs w:val="24"/>
          <w:lang w:val="en-US" w:bidi="ar-SA"/>
        </w:rPr>
        <w:t>（北京时间）。</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比选申请文件递交地点：</w:t>
      </w:r>
      <w:r>
        <w:rPr>
          <w:rFonts w:hint="eastAsia" w:hAnsi="Times New Roman" w:cs="Times New Roman"/>
          <w:kern w:val="2"/>
          <w:sz w:val="24"/>
          <w:szCs w:val="24"/>
          <w:u w:val="single"/>
          <w:lang w:val="en-US" w:bidi="ar-SA"/>
        </w:rPr>
        <w:t>四川省成都市青羊区光华北五路266号2栋A座15楼开标室</w:t>
      </w:r>
      <w:r>
        <w:rPr>
          <w:rFonts w:hint="eastAsia" w:hAnsi="Times New Roman" w:cs="Times New Roman"/>
          <w:kern w:val="2"/>
          <w:sz w:val="24"/>
          <w:szCs w:val="24"/>
          <w:lang w:val="en-US" w:bidi="ar-SA"/>
        </w:rPr>
        <w:t>。</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比选人定于比选申请文件递交截止时间的同一时间、同一地址开标，比选申请人应派代表出席并签认启封结果，否则视为默认开标结果，本次比选不接受邮寄的比选文件。</w:t>
      </w:r>
    </w:p>
    <w:p>
      <w:pPr>
        <w:numPr>
          <w:ilvl w:val="1"/>
          <w:numId w:val="1"/>
        </w:numPr>
        <w:autoSpaceDE/>
        <w:autoSpaceDN/>
        <w:spacing w:line="360" w:lineRule="auto"/>
        <w:ind w:left="0" w:firstLine="426"/>
        <w:rPr>
          <w:rFonts w:hAnsi="Times New Roman" w:cs="Times New Roman"/>
          <w:kern w:val="2"/>
          <w:sz w:val="24"/>
          <w:szCs w:val="24"/>
          <w:lang w:val="en-US" w:bidi="ar-SA"/>
        </w:rPr>
      </w:pPr>
      <w:bookmarkStart w:id="4" w:name="_Toc509847595"/>
      <w:bookmarkStart w:id="5" w:name="_Toc509481744"/>
      <w:bookmarkStart w:id="6" w:name="_Toc522780794"/>
      <w:bookmarkStart w:id="7" w:name="_Toc496657989"/>
      <w:bookmarkStart w:id="8" w:name="_Toc508711576"/>
      <w:r>
        <w:rPr>
          <w:rFonts w:hint="eastAsia" w:hAnsi="Times New Roman" w:cs="Times New Roman"/>
          <w:kern w:val="2"/>
          <w:sz w:val="24"/>
          <w:szCs w:val="24"/>
          <w:lang w:val="en-US" w:bidi="ar-SA"/>
        </w:rPr>
        <w:t>未按比选申请人须知规定进行包封的比选申请文件，比选人将予以拒收。</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逾期送达或者未送达指定地点的文件，比选人不予受理。</w:t>
      </w:r>
      <w:bookmarkEnd w:id="4"/>
      <w:bookmarkEnd w:id="5"/>
      <w:bookmarkEnd w:id="6"/>
      <w:bookmarkEnd w:id="7"/>
      <w:bookmarkEnd w:id="8"/>
    </w:p>
    <w:p>
      <w:pPr>
        <w:numPr>
          <w:ilvl w:val="0"/>
          <w:numId w:val="1"/>
        </w:numPr>
        <w:autoSpaceDE/>
        <w:autoSpaceDN/>
        <w:spacing w:line="360" w:lineRule="auto"/>
        <w:ind w:left="0" w:firstLine="0"/>
        <w:rPr>
          <w:rFonts w:hAnsi="黑体" w:cs="黑体"/>
          <w:b/>
          <w:sz w:val="24"/>
          <w:szCs w:val="24"/>
        </w:rPr>
      </w:pPr>
      <w:r>
        <w:rPr>
          <w:rFonts w:hint="eastAsia" w:hAnsi="黑体" w:cs="黑体"/>
          <w:b/>
          <w:sz w:val="24"/>
          <w:szCs w:val="24"/>
        </w:rPr>
        <w:t>比选程序及相关要求</w:t>
      </w:r>
    </w:p>
    <w:p>
      <w:pPr>
        <w:numPr>
          <w:ilvl w:val="1"/>
          <w:numId w:val="1"/>
        </w:numPr>
        <w:autoSpaceDE/>
        <w:autoSpaceDN/>
        <w:spacing w:line="360" w:lineRule="auto"/>
        <w:rPr>
          <w:rFonts w:hAnsi="黑体" w:cs="黑体"/>
          <w:sz w:val="24"/>
          <w:szCs w:val="24"/>
        </w:rPr>
      </w:pPr>
      <w:r>
        <w:rPr>
          <w:rFonts w:hint="eastAsia" w:hAnsi="黑体" w:cs="黑体"/>
          <w:sz w:val="24"/>
          <w:szCs w:val="24"/>
        </w:rPr>
        <w:t>比选程序</w:t>
      </w:r>
    </w:p>
    <w:p>
      <w:pPr>
        <w:spacing w:line="360" w:lineRule="auto"/>
        <w:ind w:firstLine="560"/>
        <w:rPr>
          <w:sz w:val="24"/>
          <w:szCs w:val="24"/>
        </w:rPr>
      </w:pPr>
      <w:r>
        <w:rPr>
          <w:rFonts w:hint="eastAsia"/>
          <w:sz w:val="24"/>
          <w:szCs w:val="24"/>
        </w:rPr>
        <w:t>1.比选人在比选公告规定的时间和地点公开组织比选。比选申请人须派代表参加。</w:t>
      </w:r>
    </w:p>
    <w:p>
      <w:pPr>
        <w:spacing w:line="360" w:lineRule="auto"/>
        <w:ind w:firstLine="560"/>
        <w:rPr>
          <w:sz w:val="24"/>
          <w:szCs w:val="24"/>
        </w:rPr>
      </w:pPr>
      <w:r>
        <w:rPr>
          <w:rFonts w:hint="eastAsia"/>
          <w:sz w:val="24"/>
          <w:szCs w:val="24"/>
        </w:rPr>
        <w:t>2.参加比选会议的比选申请人的法定代表人或其委托代理人应提交</w:t>
      </w:r>
      <w:r>
        <w:rPr>
          <w:rFonts w:hint="eastAsia"/>
          <w:bCs/>
          <w:sz w:val="24"/>
          <w:szCs w:val="24"/>
        </w:rPr>
        <w:t>授权委托书</w:t>
      </w:r>
      <w:r>
        <w:rPr>
          <w:rFonts w:hint="eastAsia"/>
          <w:sz w:val="24"/>
          <w:szCs w:val="24"/>
        </w:rPr>
        <w:t>参加比选会议，以证明其身份。未按规定提交的，比选文件不予开封，并退给比选申请人。</w:t>
      </w:r>
    </w:p>
    <w:p>
      <w:pPr>
        <w:numPr>
          <w:ilvl w:val="1"/>
          <w:numId w:val="1"/>
        </w:numPr>
        <w:autoSpaceDE/>
        <w:autoSpaceDN/>
        <w:spacing w:line="360" w:lineRule="auto"/>
        <w:rPr>
          <w:rFonts w:hAnsi="黑体" w:cs="黑体"/>
          <w:sz w:val="24"/>
          <w:szCs w:val="24"/>
        </w:rPr>
      </w:pPr>
      <w:r>
        <w:rPr>
          <w:rFonts w:hint="eastAsia" w:hAnsi="黑体" w:cs="黑体"/>
          <w:sz w:val="24"/>
          <w:szCs w:val="24"/>
        </w:rPr>
        <w:t>比选流程</w:t>
      </w:r>
    </w:p>
    <w:p>
      <w:pPr>
        <w:spacing w:line="360" w:lineRule="auto"/>
        <w:ind w:firstLine="560"/>
        <w:rPr>
          <w:sz w:val="24"/>
          <w:szCs w:val="24"/>
        </w:rPr>
      </w:pPr>
      <w:r>
        <w:rPr>
          <w:rFonts w:hint="eastAsia"/>
          <w:sz w:val="24"/>
          <w:szCs w:val="24"/>
        </w:rPr>
        <w:t>1.宣布比选开始。</w:t>
      </w:r>
    </w:p>
    <w:p>
      <w:pPr>
        <w:spacing w:line="360" w:lineRule="auto"/>
        <w:ind w:firstLine="560"/>
        <w:rPr>
          <w:sz w:val="24"/>
          <w:szCs w:val="24"/>
        </w:rPr>
      </w:pPr>
      <w:r>
        <w:rPr>
          <w:rFonts w:hint="eastAsia"/>
          <w:sz w:val="24"/>
          <w:szCs w:val="24"/>
        </w:rPr>
        <w:t>2.宣布会场纪律。</w:t>
      </w:r>
    </w:p>
    <w:p>
      <w:pPr>
        <w:spacing w:line="360" w:lineRule="auto"/>
        <w:ind w:firstLine="560"/>
        <w:rPr>
          <w:sz w:val="24"/>
          <w:szCs w:val="24"/>
        </w:rPr>
      </w:pPr>
      <w:r>
        <w:rPr>
          <w:rFonts w:hint="eastAsia"/>
          <w:sz w:val="24"/>
          <w:szCs w:val="24"/>
        </w:rPr>
        <w:t>3.主持人介绍到会的单位和有关人员，并宣布会议主持人、记录人、唱标人、监督人名单。</w:t>
      </w:r>
    </w:p>
    <w:p>
      <w:pPr>
        <w:spacing w:line="360" w:lineRule="auto"/>
        <w:ind w:firstLine="560"/>
        <w:rPr>
          <w:sz w:val="24"/>
          <w:szCs w:val="24"/>
        </w:rPr>
      </w:pPr>
      <w:r>
        <w:rPr>
          <w:rFonts w:hint="eastAsia"/>
          <w:sz w:val="24"/>
          <w:szCs w:val="24"/>
        </w:rPr>
        <w:t>4.由监督人及各比选申请人共同对比选申请人提供文件的密封性进行审查。</w:t>
      </w:r>
    </w:p>
    <w:p>
      <w:pPr>
        <w:spacing w:line="360" w:lineRule="auto"/>
        <w:ind w:firstLine="560"/>
        <w:rPr>
          <w:sz w:val="24"/>
          <w:szCs w:val="24"/>
        </w:rPr>
      </w:pPr>
      <w:r>
        <w:rPr>
          <w:rFonts w:hint="eastAsia"/>
          <w:sz w:val="24"/>
          <w:szCs w:val="24"/>
        </w:rPr>
        <w:t>5.经查验无误后当众启封比选申请文件；由比选申请人随机进行启标，由唱标人当众公布报价，并由比选申请人代表签字确认。</w:t>
      </w:r>
    </w:p>
    <w:p>
      <w:pPr>
        <w:spacing w:line="360" w:lineRule="auto"/>
        <w:ind w:firstLine="560"/>
        <w:rPr>
          <w:sz w:val="24"/>
          <w:szCs w:val="24"/>
        </w:rPr>
      </w:pPr>
      <w:r>
        <w:rPr>
          <w:rFonts w:hint="eastAsia"/>
          <w:sz w:val="24"/>
          <w:szCs w:val="24"/>
        </w:rPr>
        <w:t>6.</w:t>
      </w:r>
      <w:r>
        <w:rPr>
          <w:rFonts w:hint="eastAsia"/>
          <w:sz w:val="24"/>
          <w:szCs w:val="24"/>
          <w:lang w:val="en-US"/>
        </w:rPr>
        <w:t>开标</w:t>
      </w:r>
      <w:r>
        <w:rPr>
          <w:rFonts w:hint="eastAsia"/>
          <w:sz w:val="24"/>
          <w:szCs w:val="24"/>
        </w:rPr>
        <w:t>结束，进入</w:t>
      </w:r>
      <w:r>
        <w:rPr>
          <w:rFonts w:hint="eastAsia"/>
          <w:sz w:val="24"/>
          <w:szCs w:val="24"/>
          <w:lang w:val="en-US"/>
        </w:rPr>
        <w:t>评审</w:t>
      </w:r>
      <w:r>
        <w:rPr>
          <w:rFonts w:hint="eastAsia"/>
          <w:sz w:val="24"/>
          <w:szCs w:val="24"/>
        </w:rPr>
        <w:t>阶段。</w:t>
      </w:r>
    </w:p>
    <w:p>
      <w:pPr>
        <w:numPr>
          <w:ilvl w:val="1"/>
          <w:numId w:val="1"/>
        </w:numPr>
        <w:autoSpaceDE/>
        <w:autoSpaceDN/>
        <w:spacing w:line="360" w:lineRule="auto"/>
        <w:rPr>
          <w:rFonts w:hAnsi="黑体" w:cs="黑体"/>
          <w:sz w:val="24"/>
          <w:szCs w:val="24"/>
        </w:rPr>
      </w:pPr>
      <w:r>
        <w:rPr>
          <w:rFonts w:hint="eastAsia" w:hAnsi="黑体" w:cs="黑体"/>
          <w:sz w:val="24"/>
          <w:szCs w:val="24"/>
        </w:rPr>
        <w:t>评审</w:t>
      </w:r>
    </w:p>
    <w:p>
      <w:pPr>
        <w:spacing w:line="360" w:lineRule="auto"/>
        <w:ind w:firstLine="560"/>
        <w:rPr>
          <w:sz w:val="24"/>
          <w:szCs w:val="24"/>
        </w:rPr>
      </w:pPr>
      <w:r>
        <w:rPr>
          <w:rFonts w:hint="eastAsia"/>
          <w:sz w:val="24"/>
          <w:szCs w:val="24"/>
        </w:rPr>
        <w:t>1.本项目的评审小组由比选人根据本次比选特点按照相关规定组建。</w:t>
      </w:r>
    </w:p>
    <w:p>
      <w:pPr>
        <w:spacing w:line="360" w:lineRule="auto"/>
        <w:ind w:firstLine="560"/>
        <w:rPr>
          <w:sz w:val="24"/>
          <w:szCs w:val="24"/>
        </w:rPr>
      </w:pPr>
      <w:r>
        <w:rPr>
          <w:rFonts w:hint="eastAsia"/>
          <w:sz w:val="24"/>
          <w:szCs w:val="24"/>
        </w:rPr>
        <w:t>2.</w:t>
      </w:r>
      <w:r>
        <w:rPr>
          <w:rFonts w:hint="eastAsia"/>
          <w:sz w:val="24"/>
          <w:szCs w:val="24"/>
          <w:lang w:val="en-US"/>
        </w:rPr>
        <w:t>评审小组</w:t>
      </w:r>
      <w:r>
        <w:rPr>
          <w:rFonts w:hint="eastAsia"/>
          <w:sz w:val="24"/>
          <w:szCs w:val="24"/>
        </w:rPr>
        <w:t>成员名单，在中选结果确定前是保密的，</w:t>
      </w:r>
      <w:r>
        <w:rPr>
          <w:rFonts w:hint="eastAsia"/>
          <w:sz w:val="24"/>
          <w:szCs w:val="24"/>
          <w:lang w:val="en-US"/>
        </w:rPr>
        <w:t>评审</w:t>
      </w:r>
      <w:r>
        <w:rPr>
          <w:rFonts w:hint="eastAsia"/>
          <w:sz w:val="24"/>
          <w:szCs w:val="24"/>
        </w:rPr>
        <w:t>在有关部门监督和保密的状态下进行。</w:t>
      </w:r>
    </w:p>
    <w:p>
      <w:pPr>
        <w:spacing w:line="360" w:lineRule="auto"/>
        <w:ind w:firstLine="560"/>
        <w:rPr>
          <w:sz w:val="24"/>
          <w:szCs w:val="24"/>
        </w:rPr>
      </w:pPr>
      <w:r>
        <w:rPr>
          <w:rFonts w:hint="eastAsia"/>
          <w:sz w:val="24"/>
          <w:szCs w:val="24"/>
        </w:rPr>
        <w:t>3.</w:t>
      </w:r>
      <w:r>
        <w:rPr>
          <w:rFonts w:hint="eastAsia"/>
          <w:sz w:val="24"/>
          <w:szCs w:val="24"/>
          <w:lang w:val="en-US"/>
        </w:rPr>
        <w:t>评审小组</w:t>
      </w:r>
      <w:r>
        <w:rPr>
          <w:rFonts w:hint="eastAsia"/>
          <w:sz w:val="24"/>
          <w:szCs w:val="24"/>
        </w:rPr>
        <w:t>成员应当客观公正履行职务，遵守职业道德，对所提出的评审意见承担个人责任。</w:t>
      </w:r>
      <w:r>
        <w:rPr>
          <w:rFonts w:hint="eastAsia"/>
          <w:sz w:val="24"/>
          <w:szCs w:val="24"/>
          <w:lang w:val="en-US"/>
        </w:rPr>
        <w:t>评审小组</w:t>
      </w:r>
      <w:r>
        <w:rPr>
          <w:rFonts w:hint="eastAsia"/>
          <w:sz w:val="24"/>
          <w:szCs w:val="24"/>
        </w:rPr>
        <w:t>成员不得私下接触比选申请人，不得接受比选申请人的财物或其他资源。</w:t>
      </w:r>
    </w:p>
    <w:p>
      <w:pPr>
        <w:spacing w:line="360" w:lineRule="auto"/>
        <w:ind w:firstLine="560"/>
        <w:rPr>
          <w:sz w:val="24"/>
          <w:szCs w:val="24"/>
          <w:lang w:val="en-US"/>
        </w:rPr>
      </w:pPr>
      <w:r>
        <w:rPr>
          <w:rFonts w:hint="eastAsia"/>
          <w:sz w:val="24"/>
          <w:szCs w:val="24"/>
          <w:lang w:val="en-US"/>
        </w:rPr>
        <w:t>4.评审期间，评审小组成员根据需要对某些比选申请文件涉及事项进行质询，比选申请人法人代表或其委托单位必须保持通讯工具畅通。</w:t>
      </w:r>
    </w:p>
    <w:p>
      <w:pPr>
        <w:spacing w:line="360" w:lineRule="auto"/>
        <w:ind w:firstLine="560"/>
        <w:rPr>
          <w:sz w:val="24"/>
          <w:szCs w:val="24"/>
        </w:rPr>
      </w:pPr>
      <w:r>
        <w:rPr>
          <w:rFonts w:hint="eastAsia"/>
          <w:sz w:val="24"/>
          <w:szCs w:val="24"/>
        </w:rPr>
        <w:t>5.评审原则和方法：</w:t>
      </w:r>
    </w:p>
    <w:p>
      <w:pPr>
        <w:spacing w:line="360" w:lineRule="auto"/>
        <w:ind w:firstLine="560"/>
        <w:rPr>
          <w:sz w:val="24"/>
          <w:szCs w:val="24"/>
        </w:rPr>
      </w:pPr>
      <w:r>
        <w:rPr>
          <w:rFonts w:hint="eastAsia"/>
          <w:sz w:val="24"/>
          <w:szCs w:val="24"/>
        </w:rPr>
        <w:t>（1）严格依法评分，坚持公平、公正的原则。</w:t>
      </w:r>
    </w:p>
    <w:p>
      <w:pPr>
        <w:spacing w:line="360" w:lineRule="auto"/>
        <w:ind w:firstLine="560"/>
        <w:rPr>
          <w:sz w:val="24"/>
          <w:szCs w:val="24"/>
        </w:rPr>
      </w:pPr>
      <w:r>
        <w:rPr>
          <w:rFonts w:hint="eastAsia"/>
          <w:sz w:val="24"/>
          <w:szCs w:val="24"/>
        </w:rPr>
        <w:t>（2）严格按照比选文件的要求和条件进行。</w:t>
      </w:r>
    </w:p>
    <w:p>
      <w:pPr>
        <w:spacing w:line="360" w:lineRule="auto"/>
        <w:ind w:firstLine="560"/>
        <w:rPr>
          <w:sz w:val="24"/>
          <w:szCs w:val="24"/>
        </w:rPr>
      </w:pPr>
      <w:r>
        <w:rPr>
          <w:rFonts w:hint="eastAsia"/>
          <w:sz w:val="24"/>
          <w:szCs w:val="24"/>
        </w:rPr>
        <w:t>（3）本次评</w:t>
      </w:r>
      <w:r>
        <w:rPr>
          <w:rFonts w:hint="eastAsia"/>
          <w:sz w:val="24"/>
          <w:szCs w:val="24"/>
          <w:lang w:val="en-US"/>
        </w:rPr>
        <w:t>审</w:t>
      </w:r>
      <w:r>
        <w:rPr>
          <w:rFonts w:hint="eastAsia"/>
          <w:sz w:val="24"/>
          <w:szCs w:val="24"/>
        </w:rPr>
        <w:t>采用综合评分法。比选人不保证价格最低能够中选，无义务对未中选人</w:t>
      </w:r>
      <w:r>
        <w:rPr>
          <w:rFonts w:hint="eastAsia"/>
          <w:sz w:val="24"/>
          <w:szCs w:val="24"/>
          <w:lang w:val="en-US"/>
        </w:rPr>
        <w:t>做任何解释</w:t>
      </w:r>
      <w:r>
        <w:rPr>
          <w:rFonts w:hint="eastAsia"/>
          <w:sz w:val="24"/>
          <w:szCs w:val="24"/>
        </w:rPr>
        <w:t>。</w:t>
      </w:r>
    </w:p>
    <w:p>
      <w:pPr>
        <w:numPr>
          <w:ilvl w:val="0"/>
          <w:numId w:val="1"/>
        </w:numPr>
        <w:autoSpaceDE/>
        <w:autoSpaceDN/>
        <w:spacing w:line="360" w:lineRule="auto"/>
        <w:ind w:left="0" w:firstLine="0"/>
        <w:rPr>
          <w:rFonts w:hAnsi="黑体" w:cs="黑体"/>
          <w:b/>
          <w:sz w:val="24"/>
          <w:szCs w:val="24"/>
        </w:rPr>
      </w:pPr>
      <w:r>
        <w:rPr>
          <w:rFonts w:hint="eastAsia" w:hAnsi="黑体" w:cs="黑体"/>
          <w:b/>
          <w:sz w:val="24"/>
          <w:szCs w:val="24"/>
        </w:rPr>
        <w:t>授予合同</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评审结束后，比选人公示中选候选人，公示期满后向中选人发出中选通知书。</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中选人须按照“中选通知书”中的要求与比选人签订合同。</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如中选人违约，比选人可在比选申请人单位中按得分高低依次重新选定中选单位。</w:t>
      </w:r>
    </w:p>
    <w:p>
      <w:pPr>
        <w:numPr>
          <w:ilvl w:val="0"/>
          <w:numId w:val="1"/>
        </w:numPr>
        <w:autoSpaceDE/>
        <w:autoSpaceDN/>
        <w:spacing w:line="360" w:lineRule="auto"/>
        <w:ind w:left="0" w:firstLine="0"/>
        <w:rPr>
          <w:rFonts w:hAnsi="黑体" w:cs="黑体"/>
          <w:b/>
          <w:sz w:val="24"/>
          <w:szCs w:val="24"/>
        </w:rPr>
      </w:pPr>
      <w:r>
        <w:rPr>
          <w:rFonts w:hint="eastAsia" w:hAnsi="黑体" w:cs="黑体"/>
          <w:b/>
          <w:sz w:val="24"/>
          <w:szCs w:val="24"/>
        </w:rPr>
        <w:t>相关说明</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比选人承诺，将坚持诚实守信的原则对待所有比选申请人，公开、公平、公正地进行评审工作；</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公开比选期间，如果比选申请人发现中选人存在比选材料与比选公告要求不符、弄假作虚等情形，比选人有权取消中选资格或是单方面无条件解除合同，一切责任由比选申请人自行承担；</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因本项目目前处于前期筹备阶段，存在一定的不确定性。比选人发出中选通知书后，中选人应按照比选人书面通知的时间与比选人签订正式合同。无论任何原因导致本项目终止的，比选人有权不再组织中选人签订正式合同，中选通知书自动作废，并由中选人承担因本项目参选所产生的一切费用。</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比选申请人应严格保密从比选人处获得的资料，且不得用于该比选之外的用途，如造成严重后果，将保留责任追究。</w:t>
      </w:r>
    </w:p>
    <w:p>
      <w:pPr>
        <w:numPr>
          <w:ilvl w:val="1"/>
          <w:numId w:val="1"/>
        </w:numPr>
        <w:autoSpaceDE/>
        <w:autoSpaceDN/>
        <w:spacing w:line="360" w:lineRule="auto"/>
        <w:ind w:left="0" w:firstLine="426"/>
        <w:rPr>
          <w:rFonts w:hAnsi="Times New Roman" w:cs="Times New Roman"/>
          <w:kern w:val="2"/>
          <w:sz w:val="24"/>
          <w:szCs w:val="24"/>
          <w:lang w:val="en-US" w:bidi="ar-SA"/>
        </w:rPr>
      </w:pPr>
      <w:r>
        <w:rPr>
          <w:rFonts w:hint="eastAsia" w:hAnsi="Times New Roman" w:cs="Times New Roman"/>
          <w:kern w:val="2"/>
          <w:sz w:val="24"/>
          <w:szCs w:val="24"/>
          <w:lang w:val="en-US" w:bidi="ar-SA"/>
        </w:rPr>
        <w:t>未尽事宜，以比选人最终通知为准。本项目比选文件的解释权归四川蜀道物流集团有限公司。</w:t>
      </w:r>
    </w:p>
    <w:p>
      <w:pPr>
        <w:numPr>
          <w:ilvl w:val="0"/>
          <w:numId w:val="1"/>
        </w:numPr>
        <w:autoSpaceDE/>
        <w:autoSpaceDN/>
        <w:spacing w:line="360" w:lineRule="auto"/>
        <w:rPr>
          <w:rFonts w:hAnsi="黑体" w:cs="黑体"/>
          <w:b/>
          <w:sz w:val="24"/>
          <w:szCs w:val="24"/>
        </w:rPr>
      </w:pPr>
      <w:r>
        <w:rPr>
          <w:rFonts w:hint="eastAsia" w:hAnsi="黑体" w:cs="黑体"/>
          <w:b/>
          <w:sz w:val="24"/>
          <w:szCs w:val="24"/>
        </w:rPr>
        <w:t>发布公告的媒介</w:t>
      </w:r>
    </w:p>
    <w:p>
      <w:pPr>
        <w:wordWrap w:val="0"/>
        <w:autoSpaceDE/>
        <w:autoSpaceDN/>
        <w:spacing w:line="360" w:lineRule="auto"/>
        <w:ind w:firstLine="424" w:firstLineChars="177"/>
        <w:rPr>
          <w:rFonts w:hAnsi="Times New Roman" w:cs="Times New Roman"/>
          <w:kern w:val="2"/>
          <w:sz w:val="24"/>
          <w:szCs w:val="24"/>
          <w:lang w:val="en-US" w:bidi="ar-SA"/>
        </w:rPr>
      </w:pPr>
      <w:r>
        <w:rPr>
          <w:rFonts w:hint="eastAsia" w:hAnsi="Times New Roman" w:cs="Times New Roman"/>
          <w:kern w:val="2"/>
          <w:sz w:val="24"/>
          <w:szCs w:val="24"/>
          <w:lang w:val="en-US" w:bidi="ar-SA"/>
        </w:rPr>
        <w:t>本比选公告仅在四川蜀道物流集团有限公司官网（https://www.shudaowl.com/）、蜀物智采平台（https://scjt.tabe.cn/）上发布，其他媒介转载无效。</w:t>
      </w:r>
    </w:p>
    <w:p>
      <w:pPr>
        <w:numPr>
          <w:ilvl w:val="0"/>
          <w:numId w:val="1"/>
        </w:numPr>
        <w:autoSpaceDE/>
        <w:autoSpaceDN/>
        <w:spacing w:line="360" w:lineRule="auto"/>
        <w:ind w:left="0" w:firstLine="0"/>
        <w:rPr>
          <w:rFonts w:hAnsi="黑体" w:cs="黑体"/>
          <w:b/>
          <w:sz w:val="24"/>
          <w:szCs w:val="24"/>
        </w:rPr>
      </w:pPr>
      <w:r>
        <w:rPr>
          <w:rFonts w:hint="eastAsia" w:hAnsi="黑体" w:cs="黑体"/>
          <w:b/>
          <w:sz w:val="24"/>
          <w:szCs w:val="24"/>
        </w:rPr>
        <w:t>联系方式</w:t>
      </w:r>
    </w:p>
    <w:p>
      <w:pPr>
        <w:spacing w:line="360" w:lineRule="auto"/>
        <w:rPr>
          <w:rFonts w:hAnsi="Times New Roman" w:cs="Times New Roman"/>
          <w:kern w:val="2"/>
          <w:sz w:val="24"/>
          <w:szCs w:val="24"/>
          <w:lang w:val="en-US" w:bidi="ar-SA"/>
        </w:rPr>
      </w:pPr>
      <w:r>
        <w:rPr>
          <w:rFonts w:hint="eastAsia" w:hAnsi="仿宋"/>
          <w:color w:val="000000"/>
          <w:spacing w:val="100"/>
          <w:kern w:val="0"/>
          <w:sz w:val="24"/>
          <w:szCs w:val="24"/>
          <w:fitText w:val="1120" w:id="-1299485182"/>
        </w:rPr>
        <w:t>比选</w:t>
      </w:r>
      <w:r>
        <w:rPr>
          <w:rFonts w:hint="eastAsia" w:hAnsi="仿宋"/>
          <w:color w:val="000000"/>
          <w:spacing w:val="0"/>
          <w:kern w:val="0"/>
          <w:sz w:val="24"/>
          <w:szCs w:val="24"/>
          <w:fitText w:val="1120" w:id="-1299485182"/>
        </w:rPr>
        <w:t>人</w:t>
      </w:r>
      <w:r>
        <w:rPr>
          <w:rFonts w:hint="eastAsia" w:hAnsi="仿宋"/>
          <w:color w:val="000000"/>
          <w:sz w:val="24"/>
          <w:szCs w:val="24"/>
        </w:rPr>
        <w:t>：</w:t>
      </w:r>
      <w:r>
        <w:rPr>
          <w:rFonts w:hint="eastAsia" w:hAnsi="Times New Roman" w:cs="Times New Roman"/>
          <w:kern w:val="2"/>
          <w:sz w:val="24"/>
          <w:szCs w:val="24"/>
          <w:lang w:val="en-US" w:bidi="ar-SA"/>
        </w:rPr>
        <w:t>四川蜀道物流集团有限公司、</w:t>
      </w:r>
      <w:r>
        <w:rPr>
          <w:rFonts w:hint="eastAsia" w:hAnsi="宋体" w:cs="宋体"/>
          <w:bCs/>
          <w:color w:val="000000"/>
          <w:sz w:val="24"/>
          <w:szCs w:val="28"/>
          <w:lang w:val="en-US" w:bidi="ar-SA"/>
        </w:rPr>
        <w:t>渠县蜀物致远物流发展有限公司</w:t>
      </w:r>
    </w:p>
    <w:p>
      <w:pPr>
        <w:spacing w:line="360" w:lineRule="auto"/>
        <w:rPr>
          <w:rFonts w:hAnsi="仿宋"/>
          <w:color w:val="000000"/>
          <w:sz w:val="24"/>
          <w:szCs w:val="24"/>
        </w:rPr>
      </w:pPr>
      <w:r>
        <w:rPr>
          <w:rFonts w:hint="eastAsia" w:hAnsi="仿宋"/>
          <w:color w:val="000000"/>
          <w:sz w:val="24"/>
          <w:szCs w:val="24"/>
        </w:rPr>
        <w:t>地    址：</w:t>
      </w:r>
      <w:r>
        <w:rPr>
          <w:rFonts w:hint="eastAsia"/>
          <w:sz w:val="24"/>
          <w:szCs w:val="24"/>
        </w:rPr>
        <w:t>成都市青羊区光华北5路266号</w:t>
      </w:r>
    </w:p>
    <w:p>
      <w:pPr>
        <w:pStyle w:val="11"/>
        <w:spacing w:line="360" w:lineRule="auto"/>
        <w:ind w:firstLine="0"/>
        <w:rPr>
          <w:rFonts w:ascii="仿宋_GB2312" w:hAnsi="仿宋" w:eastAsia="仿宋_GB2312"/>
          <w:color w:val="000000"/>
          <w:sz w:val="24"/>
          <w:szCs w:val="24"/>
          <w:lang w:val="en-US"/>
        </w:rPr>
      </w:pPr>
      <w:r>
        <w:rPr>
          <w:rFonts w:hint="eastAsia" w:ascii="仿宋_GB2312" w:hAnsi="仿宋" w:eastAsia="仿宋_GB2312"/>
          <w:color w:val="000000"/>
          <w:spacing w:val="100"/>
          <w:kern w:val="0"/>
          <w:sz w:val="24"/>
          <w:szCs w:val="24"/>
          <w:fitText w:val="1120" w:id="-1299485183"/>
        </w:rPr>
        <w:t>联系</w:t>
      </w:r>
      <w:r>
        <w:rPr>
          <w:rFonts w:hint="eastAsia" w:ascii="仿宋_GB2312" w:hAnsi="仿宋" w:eastAsia="仿宋_GB2312"/>
          <w:color w:val="000000"/>
          <w:spacing w:val="0"/>
          <w:kern w:val="0"/>
          <w:sz w:val="24"/>
          <w:szCs w:val="24"/>
          <w:fitText w:val="1120" w:id="-1299485183"/>
        </w:rPr>
        <w:t>人</w:t>
      </w: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rPr>
        <w:t>李女士</w:t>
      </w:r>
    </w:p>
    <w:p>
      <w:pPr>
        <w:pStyle w:val="11"/>
        <w:spacing w:line="360" w:lineRule="auto"/>
        <w:ind w:firstLine="0"/>
        <w:rPr>
          <w:rFonts w:ascii="仿宋_GB2312" w:hAnsi="仿宋" w:eastAsia="仿宋_GB2312"/>
          <w:color w:val="000000"/>
          <w:sz w:val="24"/>
          <w:szCs w:val="24"/>
          <w:lang w:val="en-US"/>
        </w:rPr>
      </w:pPr>
      <w:r>
        <w:rPr>
          <w:rFonts w:hint="eastAsia" w:ascii="仿宋_GB2312" w:hAnsi="仿宋" w:eastAsia="仿宋_GB2312"/>
          <w:color w:val="000000"/>
          <w:sz w:val="24"/>
          <w:szCs w:val="24"/>
          <w:lang w:val="en-US" w:eastAsia="zh-Hans"/>
        </w:rPr>
        <w:t>联系方式</w:t>
      </w:r>
      <w:r>
        <w:rPr>
          <w:rFonts w:hint="eastAsia" w:ascii="仿宋_GB2312" w:hAnsi="仿宋" w:eastAsia="仿宋_GB2312"/>
          <w:color w:val="000000"/>
          <w:sz w:val="24"/>
          <w:szCs w:val="24"/>
          <w:lang w:eastAsia="zh-Hans"/>
        </w:rPr>
        <w:t>：</w:t>
      </w:r>
      <w:r>
        <w:rPr>
          <w:rFonts w:hint="eastAsia" w:ascii="仿宋_GB2312" w:hAnsi="仿宋" w:eastAsia="仿宋_GB2312"/>
          <w:color w:val="000000"/>
          <w:sz w:val="24"/>
          <w:szCs w:val="24"/>
          <w:lang w:val="en-US"/>
        </w:rPr>
        <w:t>85237881</w:t>
      </w:r>
    </w:p>
    <w:p>
      <w:pPr>
        <w:pStyle w:val="11"/>
        <w:spacing w:line="360" w:lineRule="auto"/>
        <w:ind w:firstLine="0"/>
        <w:rPr>
          <w:rFonts w:ascii="仿宋_GB2312" w:hAnsi="仿宋" w:eastAsia="仿宋_GB2312"/>
          <w:color w:val="000000"/>
          <w:sz w:val="24"/>
          <w:szCs w:val="24"/>
        </w:rPr>
      </w:pPr>
      <w:r>
        <w:rPr>
          <w:rFonts w:hint="eastAsia" w:ascii="仿宋_GB2312" w:hAnsi="仿宋" w:eastAsia="仿宋_GB2312"/>
          <w:color w:val="000000"/>
          <w:sz w:val="24"/>
          <w:szCs w:val="24"/>
        </w:rPr>
        <w:t>比选代理机构：华信咨询设计研究院有限公司</w:t>
      </w:r>
    </w:p>
    <w:p>
      <w:pPr>
        <w:spacing w:line="360" w:lineRule="auto"/>
        <w:rPr>
          <w:rFonts w:hAnsi="仿宋"/>
          <w:color w:val="000000"/>
          <w:sz w:val="24"/>
          <w:szCs w:val="24"/>
        </w:rPr>
      </w:pPr>
      <w:r>
        <w:rPr>
          <w:rFonts w:hint="eastAsia" w:hAnsi="仿宋"/>
          <w:color w:val="000000"/>
          <w:spacing w:val="66"/>
          <w:kern w:val="0"/>
          <w:sz w:val="24"/>
          <w:szCs w:val="24"/>
          <w:fitText w:val="1120" w:id="-1299485181"/>
        </w:rPr>
        <w:t xml:space="preserve">地  </w:t>
      </w:r>
      <w:r>
        <w:rPr>
          <w:rFonts w:hint="eastAsia" w:hAnsi="仿宋"/>
          <w:color w:val="000000"/>
          <w:spacing w:val="2"/>
          <w:kern w:val="0"/>
          <w:sz w:val="24"/>
          <w:szCs w:val="24"/>
          <w:fitText w:val="1120" w:id="-1299485181"/>
        </w:rPr>
        <w:t>址</w:t>
      </w:r>
      <w:r>
        <w:rPr>
          <w:rFonts w:hint="eastAsia" w:hAnsi="仿宋"/>
          <w:color w:val="000000"/>
          <w:sz w:val="24"/>
          <w:szCs w:val="24"/>
        </w:rPr>
        <w:t>：四川省成都市武侯区二环路南四段51号莱蒙都会2栋1201</w:t>
      </w:r>
    </w:p>
    <w:p>
      <w:pPr>
        <w:pStyle w:val="11"/>
        <w:spacing w:line="360" w:lineRule="auto"/>
        <w:ind w:firstLine="0"/>
        <w:rPr>
          <w:rFonts w:ascii="仿宋_GB2312" w:hAnsi="仿宋" w:eastAsia="仿宋_GB2312"/>
          <w:color w:val="000000"/>
          <w:sz w:val="24"/>
          <w:szCs w:val="24"/>
        </w:rPr>
      </w:pPr>
      <w:r>
        <w:rPr>
          <w:rFonts w:hint="eastAsia" w:ascii="仿宋_GB2312" w:hAnsi="仿宋" w:eastAsia="仿宋_GB2312"/>
          <w:color w:val="000000"/>
          <w:spacing w:val="100"/>
          <w:kern w:val="0"/>
          <w:sz w:val="24"/>
          <w:szCs w:val="24"/>
          <w:fitText w:val="1120" w:id="-1299484672"/>
        </w:rPr>
        <w:t>联系</w:t>
      </w:r>
      <w:r>
        <w:rPr>
          <w:rFonts w:hint="eastAsia" w:ascii="仿宋_GB2312" w:hAnsi="仿宋" w:eastAsia="仿宋_GB2312"/>
          <w:color w:val="000000"/>
          <w:spacing w:val="0"/>
          <w:kern w:val="0"/>
          <w:sz w:val="24"/>
          <w:szCs w:val="24"/>
          <w:fitText w:val="1120" w:id="-1299484672"/>
        </w:rPr>
        <w:t>人</w:t>
      </w:r>
      <w:r>
        <w:rPr>
          <w:rFonts w:hint="eastAsia" w:ascii="仿宋_GB2312" w:hAnsi="仿宋" w:eastAsia="仿宋_GB2312"/>
          <w:color w:val="000000"/>
          <w:sz w:val="24"/>
          <w:szCs w:val="24"/>
        </w:rPr>
        <w:t>：明惠杨</w:t>
      </w:r>
    </w:p>
    <w:p>
      <w:pPr>
        <w:pStyle w:val="11"/>
        <w:spacing w:line="360" w:lineRule="auto"/>
        <w:ind w:firstLine="0"/>
        <w:rPr>
          <w:rFonts w:ascii="仿宋_GB2312" w:hAnsi="仿宋" w:eastAsia="仿宋_GB2312"/>
          <w:color w:val="000000"/>
          <w:sz w:val="24"/>
          <w:szCs w:val="24"/>
        </w:rPr>
      </w:pPr>
      <w:r>
        <w:rPr>
          <w:rFonts w:hint="eastAsia" w:ascii="仿宋_GB2312" w:hAnsi="仿宋" w:eastAsia="仿宋_GB2312"/>
          <w:color w:val="000000"/>
          <w:sz w:val="24"/>
          <w:szCs w:val="24"/>
          <w:lang w:val="en-US" w:eastAsia="zh-Hans"/>
        </w:rPr>
        <w:t>联系方式</w:t>
      </w:r>
      <w:r>
        <w:rPr>
          <w:rFonts w:hint="eastAsia" w:ascii="仿宋_GB2312" w:hAnsi="仿宋" w:eastAsia="仿宋_GB2312"/>
          <w:color w:val="000000"/>
          <w:sz w:val="24"/>
          <w:szCs w:val="24"/>
          <w:lang w:eastAsia="zh-Hans"/>
        </w:rPr>
        <w:t>：</w:t>
      </w:r>
      <w:r>
        <w:rPr>
          <w:rFonts w:hint="eastAsia" w:ascii="仿宋_GB2312" w:hAnsi="仿宋" w:eastAsia="仿宋_GB2312"/>
          <w:color w:val="000000"/>
          <w:sz w:val="24"/>
          <w:szCs w:val="24"/>
        </w:rPr>
        <w:t>18908176285</w:t>
      </w:r>
    </w:p>
    <w:p>
      <w:pPr>
        <w:pStyle w:val="11"/>
        <w:spacing w:line="360" w:lineRule="auto"/>
        <w:ind w:firstLine="0"/>
        <w:rPr>
          <w:rFonts w:ascii="仿宋_GB2312" w:hAnsi="仿宋" w:eastAsia="仿宋_GB2312"/>
          <w:b/>
          <w:color w:val="000000"/>
        </w:rPr>
      </w:pPr>
      <w:r>
        <w:rPr>
          <w:rFonts w:hint="eastAsia" w:ascii="仿宋_GB2312" w:hAnsi="仿宋" w:eastAsia="仿宋_GB2312"/>
          <w:color w:val="000000"/>
          <w:sz w:val="24"/>
          <w:szCs w:val="24"/>
        </w:rPr>
        <w:t>电子邮件：minghuiyang.hx@chinaccs.cn</w:t>
      </w:r>
    </w:p>
    <w:p>
      <w:pPr>
        <w:pStyle w:val="2"/>
        <w:rPr>
          <w:rFonts w:ascii="仿宋_GB2312" w:eastAsia="仿宋_GB2312"/>
        </w:rPr>
        <w:sectPr>
          <w:footerReference r:id="rId3" w:type="default"/>
          <w:pgSz w:w="11906" w:h="16838"/>
          <w:pgMar w:top="1928" w:right="1531" w:bottom="1928" w:left="1531" w:header="851" w:footer="992" w:gutter="0"/>
          <w:pgNumType w:start="1"/>
          <w:cols w:space="720" w:num="1"/>
          <w:docGrid w:type="lines" w:linePitch="317" w:charSpace="0"/>
        </w:sectPr>
      </w:pPr>
    </w:p>
    <w:p>
      <w:pPr>
        <w:pStyle w:val="3"/>
        <w:rPr>
          <w:rFonts w:ascii="仿宋_GB2312"/>
        </w:rPr>
      </w:pPr>
      <w:bookmarkStart w:id="9" w:name="_Toc127778961"/>
      <w:r>
        <w:rPr>
          <w:rFonts w:hint="eastAsia" w:ascii="仿宋_GB2312"/>
        </w:rPr>
        <w:t xml:space="preserve">第二章 </w:t>
      </w:r>
      <w:r>
        <w:rPr>
          <w:rFonts w:hint="eastAsia" w:ascii="仿宋_GB2312"/>
          <w:lang w:val="en-US"/>
        </w:rPr>
        <w:t>比选申请人</w:t>
      </w:r>
      <w:r>
        <w:rPr>
          <w:rFonts w:hint="eastAsia" w:ascii="仿宋_GB2312"/>
        </w:rPr>
        <w:t>须知</w:t>
      </w:r>
      <w:bookmarkEnd w:id="9"/>
    </w:p>
    <w:p>
      <w:pPr>
        <w:pStyle w:val="4"/>
        <w:rPr>
          <w:rFonts w:ascii="仿宋_GB2312"/>
        </w:rPr>
      </w:pPr>
      <w:r>
        <w:rPr>
          <w:rFonts w:hint="eastAsia" w:ascii="仿宋_GB2312"/>
        </w:rPr>
        <w:t>一、比选申请人须知前附表</w:t>
      </w:r>
    </w:p>
    <w:tbl>
      <w:tblPr>
        <w:tblStyle w:val="17"/>
        <w:tblW w:w="5000" w:type="pct"/>
        <w:tblInd w:w="0" w:type="dxa"/>
        <w:tblLayout w:type="autofit"/>
        <w:tblCellMar>
          <w:top w:w="0" w:type="dxa"/>
          <w:left w:w="108" w:type="dxa"/>
          <w:bottom w:w="0" w:type="dxa"/>
          <w:right w:w="108" w:type="dxa"/>
        </w:tblCellMar>
      </w:tblPr>
      <w:tblGrid>
        <w:gridCol w:w="535"/>
        <w:gridCol w:w="1984"/>
        <w:gridCol w:w="6541"/>
      </w:tblGrid>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宋体" w:cs="宋体"/>
                <w:b/>
                <w:bCs/>
                <w:color w:val="000000"/>
                <w:sz w:val="24"/>
                <w:szCs w:val="28"/>
                <w:lang w:val="en-US" w:bidi="ar-SA"/>
              </w:rPr>
              <w:t xml:space="preserve">序号 </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宋体" w:cs="宋体"/>
                <w:b/>
                <w:bCs/>
                <w:color w:val="000000"/>
                <w:sz w:val="24"/>
                <w:szCs w:val="28"/>
                <w:lang w:val="en-US" w:bidi="ar-SA"/>
              </w:rPr>
              <w:t xml:space="preserve">应知事项 </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宋体" w:cs="宋体"/>
                <w:b/>
                <w:bCs/>
                <w:color w:val="000000"/>
                <w:sz w:val="24"/>
                <w:szCs w:val="28"/>
                <w:lang w:val="en-US" w:bidi="ar-SA"/>
              </w:rPr>
              <w:t>说明和要求</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1</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比选人</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四川蜀道物流集团有限公司</w:t>
            </w:r>
          </w:p>
          <w:p>
            <w:pPr>
              <w:widowControl/>
              <w:autoSpaceDE/>
              <w:autoSpaceDN/>
              <w:spacing w:line="360" w:lineRule="auto"/>
              <w:rPr>
                <w:rFonts w:hAnsi="宋体" w:cs="宋体"/>
                <w:b/>
                <w:bCs/>
                <w:color w:val="000000"/>
                <w:sz w:val="24"/>
                <w:szCs w:val="28"/>
                <w:lang w:val="en-US" w:bidi="ar-SA"/>
              </w:rPr>
            </w:pPr>
            <w:r>
              <w:rPr>
                <w:rFonts w:hint="eastAsia" w:hAnsi="宋体" w:cs="宋体"/>
                <w:bCs/>
                <w:color w:val="000000"/>
                <w:sz w:val="24"/>
                <w:szCs w:val="28"/>
                <w:lang w:val="en-US" w:bidi="ar-SA"/>
              </w:rPr>
              <w:t>渠县蜀物致远物流发展有限公司</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2</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项目名称</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渠县智慧公路物流港审计服务项目</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3</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服务地点</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宋体" w:cs="宋体"/>
                <w:color w:val="000000"/>
                <w:sz w:val="24"/>
                <w:szCs w:val="28"/>
                <w:lang w:val="en-US" w:bidi="ar-SA"/>
              </w:rPr>
              <w:t>详见本比选文件第一章 比选公告</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4</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资金来源及比例</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100%自有资金</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5</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sz w:val="21"/>
              </w:rPr>
              <w:t>资金落实情况</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Cs/>
                <w:color w:val="000000"/>
                <w:sz w:val="24"/>
                <w:szCs w:val="28"/>
                <w:lang w:val="en-US" w:bidi="ar-SA"/>
              </w:rPr>
            </w:pPr>
            <w:r>
              <w:rPr>
                <w:rFonts w:hint="eastAsia" w:hAnsi="宋体" w:cs="宋体"/>
                <w:bCs/>
                <w:color w:val="000000"/>
                <w:sz w:val="24"/>
                <w:szCs w:val="28"/>
                <w:lang w:val="en-US" w:bidi="ar-SA"/>
              </w:rPr>
              <w:t>已落实</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6</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sz w:val="24"/>
              </w:rPr>
            </w:pPr>
            <w:r>
              <w:rPr>
                <w:rFonts w:hint="eastAsia"/>
                <w:sz w:val="24"/>
              </w:rPr>
              <w:t>比选范围</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宋体" w:cs="宋体"/>
                <w:color w:val="000000"/>
                <w:sz w:val="24"/>
                <w:szCs w:val="28"/>
                <w:lang w:val="en-US" w:bidi="ar-SA"/>
              </w:rPr>
              <w:t>见本比选文件第一章 比选公告</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7</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sz w:val="24"/>
              </w:rPr>
            </w:pPr>
            <w:r>
              <w:rPr>
                <w:rFonts w:hint="eastAsia"/>
                <w:sz w:val="24"/>
              </w:rPr>
              <w:t>服务期限</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宋体" w:cs="宋体"/>
                <w:color w:val="000000"/>
                <w:sz w:val="24"/>
                <w:szCs w:val="28"/>
                <w:lang w:val="en-US" w:bidi="ar-SA"/>
              </w:rPr>
              <w:t>见本比选文件第一章 比选公告</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8</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sz w:val="24"/>
              </w:rPr>
            </w:pPr>
            <w:r>
              <w:rPr>
                <w:rFonts w:hint="eastAsia"/>
                <w:sz w:val="24"/>
              </w:rPr>
              <w:t>质量要求</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sz w:val="24"/>
              </w:rPr>
              <w:t>符合国家法律、法规要求，满足比选文件要求，验收合格</w:t>
            </w:r>
          </w:p>
        </w:tc>
      </w:tr>
      <w:tr>
        <w:tblPrEx>
          <w:tblCellMar>
            <w:top w:w="0" w:type="dxa"/>
            <w:left w:w="108" w:type="dxa"/>
            <w:bottom w:w="0" w:type="dxa"/>
            <w:right w:w="108" w:type="dxa"/>
          </w:tblCellMar>
        </w:tblPrEx>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hAnsi="等线"/>
                <w:color w:val="000000"/>
                <w:sz w:val="24"/>
              </w:rPr>
              <w:t>9</w:t>
            </w:r>
          </w:p>
        </w:tc>
        <w:tc>
          <w:tcPr>
            <w:tcW w:w="1095"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sz w:val="24"/>
              </w:rPr>
            </w:pPr>
            <w:r>
              <w:rPr>
                <w:rFonts w:hint="eastAsia"/>
                <w:sz w:val="24"/>
              </w:rPr>
              <w:t>安全目标</w:t>
            </w:r>
          </w:p>
        </w:tc>
        <w:tc>
          <w:tcPr>
            <w:tcW w:w="3610" w:type="pct"/>
            <w:tcBorders>
              <w:top w:val="single" w:color="auto" w:sz="8"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b/>
                <w:bCs/>
                <w:color w:val="000000"/>
                <w:sz w:val="24"/>
                <w:szCs w:val="28"/>
                <w:lang w:val="en-US" w:bidi="ar-SA"/>
              </w:rPr>
            </w:pPr>
            <w:r>
              <w:rPr>
                <w:rFonts w:hint="eastAsia"/>
                <w:sz w:val="24"/>
              </w:rPr>
              <w:t>零伤害、零事故</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10</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方式</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公开比选</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11</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评审方法</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综合评分法</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12</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分包履约</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不允许</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13</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踏勘现场</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不组织</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14</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预备会</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不召开</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15</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不得存在情形</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比选申请人不得存在下列情形：</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为比选人不具有独立法人资格的附属机构（单位）；</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与比选人存在利害关系且可能影响比选公正性；</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被责令停业，暂扣或吊销执照，或吊销资质证书；</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进入清算程序，或被宣告破产，或其他丧失履约能力的情形；</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与本项目同标段下的其他比选申请人同为一个单位负责人；</w:t>
            </w:r>
          </w:p>
          <w:p>
            <w:pPr>
              <w:pStyle w:val="29"/>
              <w:widowControl/>
              <w:autoSpaceDE/>
              <w:autoSpaceDN/>
              <w:spacing w:line="360" w:lineRule="auto"/>
              <w:ind w:left="420" w:firstLine="0" w:firstLineChars="0"/>
              <w:rPr>
                <w:rFonts w:hAnsi="宋体" w:cs="宋体"/>
                <w:color w:val="000000"/>
                <w:sz w:val="24"/>
                <w:szCs w:val="28"/>
                <w:lang w:val="en-US" w:bidi="ar-SA"/>
              </w:rPr>
            </w:pPr>
            <w:r>
              <w:rPr>
                <w:rFonts w:hint="eastAsia" w:hAnsi="宋体" w:cs="宋体"/>
                <w:color w:val="000000"/>
                <w:sz w:val="24"/>
                <w:szCs w:val="28"/>
                <w:lang w:val="en-US" w:bidi="ar-SA"/>
              </w:rPr>
              <w:t>注：单位负责人，是指单位法定代表人或者法律、行政法规规定代表单位行使职权的主要负责人。</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与本项目同标段下的其他比选申请人存在控股、管理关系；</w:t>
            </w:r>
          </w:p>
          <w:p>
            <w:pPr>
              <w:pStyle w:val="29"/>
              <w:widowControl/>
              <w:autoSpaceDE/>
              <w:autoSpaceDN/>
              <w:spacing w:line="360" w:lineRule="auto"/>
              <w:ind w:left="420" w:firstLine="0" w:firstLineChars="0"/>
              <w:rPr>
                <w:rFonts w:hAnsi="宋体" w:cs="宋体"/>
                <w:color w:val="000000"/>
                <w:sz w:val="24"/>
                <w:szCs w:val="28"/>
                <w:lang w:val="en-US" w:bidi="ar-SA"/>
              </w:rPr>
            </w:pPr>
            <w:r>
              <w:rPr>
                <w:rFonts w:hint="eastAsia" w:hAnsi="宋体" w:cs="宋体"/>
                <w:color w:val="000000"/>
                <w:sz w:val="24"/>
                <w:szCs w:val="28"/>
                <w:lang w:val="en-US" w:bidi="ar-SA"/>
              </w:rPr>
              <w:t>注：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29"/>
              <w:widowControl/>
              <w:autoSpaceDE/>
              <w:autoSpaceDN/>
              <w:spacing w:line="360" w:lineRule="auto"/>
              <w:ind w:left="420" w:firstLine="0" w:firstLineChars="0"/>
              <w:rPr>
                <w:rFonts w:hAnsi="宋体" w:cs="宋体"/>
                <w:color w:val="000000"/>
                <w:sz w:val="24"/>
                <w:szCs w:val="28"/>
                <w:lang w:val="en-US" w:bidi="ar-SA"/>
              </w:rPr>
            </w:pPr>
            <w:r>
              <w:rPr>
                <w:rFonts w:hint="eastAsia" w:hAnsi="宋体" w:cs="宋体"/>
                <w:color w:val="000000"/>
                <w:sz w:val="24"/>
                <w:szCs w:val="28"/>
                <w:lang w:val="en-US" w:bidi="ar-SA"/>
              </w:rPr>
              <w:t>管理关系：是指不具有出资持股关系的其他单位之间存在的管理与被管理关系。</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为本比选项目所涉及的项目的前期准备提供设计或咨询服务的法人或其任何附属机构（单位）；</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为本比选项目所涉及的项目的监理人；</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为本比选项目所涉及的项目的比选代理机构；</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与本比选项目所涉及的项目的监理人或代建人或比选代理机构同为一个法定代表人；</w:t>
            </w:r>
          </w:p>
          <w:p>
            <w:pPr>
              <w:pStyle w:val="29"/>
              <w:widowControl/>
              <w:numPr>
                <w:ilvl w:val="0"/>
                <w:numId w:val="2"/>
              </w:numPr>
              <w:autoSpaceDE/>
              <w:autoSpaceDN/>
              <w:spacing w:line="360" w:lineRule="auto"/>
              <w:ind w:firstLineChars="0"/>
              <w:rPr>
                <w:rFonts w:hAnsi="宋体" w:cs="宋体"/>
                <w:color w:val="000000"/>
                <w:sz w:val="24"/>
                <w:szCs w:val="28"/>
                <w:lang w:val="en-US" w:bidi="ar-SA"/>
              </w:rPr>
            </w:pPr>
            <w:r>
              <w:rPr>
                <w:rFonts w:hint="eastAsia" w:hAnsi="宋体" w:cs="宋体"/>
                <w:color w:val="000000"/>
                <w:sz w:val="24"/>
                <w:szCs w:val="28"/>
                <w:lang w:val="en-US" w:bidi="ar-SA"/>
              </w:rPr>
              <w:t>与本比选项目所涉及的项目的监理人或代建人或比选代理机构存在控股或参股关系。</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16</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回避</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（1）比选申请人在参选时慎重考虑，认为存在与被审计单位或审计事项有以下利害关系之一的，应当主动回避，不参与本项目的参选：</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ａ、承办过受审计项目所涉及的工程概（预）算、施工、监理、评审、过程控制、造价审计、财务及决算报表审计、资产评估、鉴证服务等业务的；</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ｂ、近 2 年内与被审计单位或审计事项有其他经济利益和业务往来关系，或存在可能影响工作履职的其他利害关系的；</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ｃ、机构负责人或其近亲属与被审计单位负责人或直接责任人是夫妻关系、近姻亲关系、三代以内直系血亲或旁系血亲关系的。</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如比选申请人与被审计单位或审计事项存在上述关系，在评标阶段发现的，评审小组应否决参选；中选候选人确定后发现的，比选人可以取消中选候选人或中选资格；在合同实施过程发现，终止合同，同时赔偿比选人的经济损失并承担相关责任。</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2）比选申请人参选时在安排人员实施项目审计时，从业人员本人或其近亲属不得与被审计单位负责人或直接责任人是夫妻关系、近姻亲关系、三代以内直系血亲或旁系血亲关系，不得与审计项目或事项有其他利害关系，或可能影响工作履职的其他情形。否则，应更换符合要求的人员。</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17</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比选申请人提出澄清的截止时间与方式</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截止时间：递交比选申请文件截止日前3日</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提出澄清的方式：比选申请人要求澄清比选文件时，不提供比选申请人的信息，采用电邮形式。</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18</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比选人发出比选文件澄清或者修改的截止时间与方式</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截止时间：递交比选申请文件截止日前2日</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发出澄清或者修改的方式：通过四川蜀道物流集团有限公司官网（https://www.shudaowl.com/）、蜀物智采平台（https://scjt.tabe.cn/）发出</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19</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比选申请文件份数</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正本壹份，副本壹份，电子版壹份</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20</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比选申请文件编制</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比选申请文件的编写应按照比选文件第五章 比选申请文件格式的要求执行</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21</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比选申请文件密封外层包封</w:t>
            </w:r>
          </w:p>
        </w:tc>
        <w:tc>
          <w:tcPr>
            <w:tcW w:w="3610" w:type="pct"/>
            <w:tcBorders>
              <w:top w:val="nil"/>
              <w:left w:val="nil"/>
              <w:bottom w:val="single" w:color="auto" w:sz="8" w:space="0"/>
              <w:right w:val="single" w:color="auto" w:sz="8" w:space="0"/>
            </w:tcBorders>
            <w:shd w:val="clear" w:color="auto" w:fill="auto"/>
            <w:vAlign w:val="center"/>
          </w:tcPr>
          <w:p>
            <w:pPr>
              <w:autoSpaceDE/>
              <w:autoSpaceDN/>
              <w:spacing w:line="360" w:lineRule="auto"/>
              <w:rPr>
                <w:rFonts w:hAnsi="宋体" w:cs="Times New Roman"/>
                <w:color w:val="000000"/>
                <w:kern w:val="2"/>
                <w:sz w:val="24"/>
                <w:szCs w:val="24"/>
                <w:highlight w:val="yellow"/>
                <w:u w:val="single"/>
                <w:lang w:val="en-US" w:bidi="ar-SA"/>
              </w:rPr>
            </w:pPr>
            <w:r>
              <w:rPr>
                <w:rFonts w:hint="eastAsia" w:hAnsi="宋体" w:cs="宋体"/>
                <w:color w:val="000000"/>
                <w:sz w:val="24"/>
                <w:szCs w:val="24"/>
                <w:lang w:val="en-US" w:bidi="ar-SA"/>
              </w:rPr>
              <w:t>项目名称：</w:t>
            </w:r>
          </w:p>
          <w:p>
            <w:pPr>
              <w:autoSpaceDE/>
              <w:autoSpaceDN/>
              <w:spacing w:line="360" w:lineRule="auto"/>
              <w:rPr>
                <w:rFonts w:hAnsi="宋体" w:cs="宋体"/>
                <w:color w:val="000000"/>
                <w:kern w:val="2"/>
                <w:sz w:val="24"/>
                <w:szCs w:val="24"/>
                <w:lang w:val="en-US" w:bidi="ar-SA"/>
              </w:rPr>
            </w:pPr>
            <w:r>
              <w:rPr>
                <w:rFonts w:hint="eastAsia" w:hAnsi="宋体" w:cs="宋体"/>
                <w:color w:val="000000"/>
                <w:kern w:val="2"/>
                <w:sz w:val="24"/>
                <w:szCs w:val="24"/>
                <w:lang w:val="en-US" w:bidi="ar-SA"/>
              </w:rPr>
              <w:t>项目编号：</w:t>
            </w:r>
          </w:p>
          <w:p>
            <w:pPr>
              <w:autoSpaceDE/>
              <w:autoSpaceDN/>
              <w:spacing w:line="360" w:lineRule="auto"/>
              <w:rPr>
                <w:rFonts w:hAnsi="宋体" w:cs="宋体"/>
                <w:color w:val="000000"/>
                <w:sz w:val="24"/>
                <w:szCs w:val="24"/>
                <w:lang w:val="en-US" w:bidi="ar-SA"/>
              </w:rPr>
            </w:pPr>
            <w:r>
              <w:rPr>
                <w:rFonts w:hint="eastAsia" w:hAnsi="宋体" w:cs="宋体"/>
                <w:color w:val="000000"/>
                <w:sz w:val="24"/>
                <w:szCs w:val="24"/>
                <w:lang w:val="en-US" w:bidi="ar-SA"/>
              </w:rPr>
              <w:t>比选申请文件（标段X</w:t>
            </w:r>
            <w:r>
              <w:rPr>
                <w:rFonts w:hAnsi="宋体" w:cs="宋体"/>
                <w:color w:val="000000"/>
                <w:sz w:val="24"/>
                <w:szCs w:val="24"/>
                <w:lang w:val="en-US" w:bidi="ar-SA"/>
              </w:rPr>
              <w:t>X</w:t>
            </w:r>
            <w:r>
              <w:rPr>
                <w:rFonts w:hint="eastAsia" w:hAnsi="宋体" w:cs="宋体"/>
                <w:color w:val="000000"/>
                <w:sz w:val="24"/>
                <w:szCs w:val="24"/>
                <w:lang w:val="en-US" w:bidi="ar-SA"/>
              </w:rPr>
              <w:t>）</w:t>
            </w:r>
          </w:p>
          <w:p>
            <w:pPr>
              <w:autoSpaceDE/>
              <w:autoSpaceDN/>
              <w:spacing w:line="360" w:lineRule="auto"/>
              <w:rPr>
                <w:rFonts w:hAnsi="宋体" w:cs="Times New Roman"/>
                <w:bCs/>
                <w:color w:val="000000"/>
                <w:kern w:val="2"/>
                <w:sz w:val="24"/>
                <w:szCs w:val="24"/>
                <w:lang w:val="en-US" w:bidi="ar-SA"/>
              </w:rPr>
            </w:pPr>
            <w:r>
              <w:rPr>
                <w:rFonts w:hint="eastAsia" w:hAnsi="宋体" w:cs="Times New Roman"/>
                <w:bCs/>
                <w:color w:val="000000"/>
                <w:kern w:val="2"/>
                <w:sz w:val="24"/>
                <w:szCs w:val="24"/>
                <w:lang w:val="en-US" w:bidi="ar-SA"/>
              </w:rPr>
              <w:t>（正本/副本/电子版）</w:t>
            </w:r>
          </w:p>
          <w:p>
            <w:pPr>
              <w:autoSpaceDE/>
              <w:autoSpaceDN/>
              <w:spacing w:line="360" w:lineRule="auto"/>
              <w:rPr>
                <w:rFonts w:hAnsi="宋体" w:cs="宋体"/>
                <w:color w:val="000000"/>
                <w:sz w:val="24"/>
                <w:szCs w:val="24"/>
                <w:u w:val="single"/>
                <w:lang w:val="en-US" w:bidi="ar-SA"/>
              </w:rPr>
            </w:pPr>
            <w:r>
              <w:rPr>
                <w:rFonts w:hint="eastAsia" w:hAnsi="宋体" w:cs="宋体"/>
                <w:color w:val="000000"/>
                <w:sz w:val="24"/>
                <w:szCs w:val="24"/>
                <w:lang w:val="en-US" w:bidi="ar-SA"/>
              </w:rPr>
              <w:t>比选人名称：</w:t>
            </w:r>
            <w:r>
              <w:rPr>
                <w:rFonts w:hint="eastAsia" w:hAnsi="宋体" w:cs="宋体"/>
                <w:color w:val="000000"/>
                <w:sz w:val="24"/>
                <w:szCs w:val="24"/>
                <w:u w:val="single"/>
                <w:lang w:val="en-US" w:bidi="ar-SA"/>
              </w:rPr>
              <w:t xml:space="preserve">                 </w:t>
            </w:r>
          </w:p>
          <w:p>
            <w:pPr>
              <w:autoSpaceDE/>
              <w:autoSpaceDN/>
              <w:spacing w:line="360" w:lineRule="auto"/>
              <w:rPr>
                <w:rFonts w:hAnsi="宋体" w:cs="宋体"/>
                <w:color w:val="000000"/>
                <w:sz w:val="24"/>
                <w:szCs w:val="24"/>
                <w:lang w:val="en-US" w:bidi="ar-SA"/>
              </w:rPr>
            </w:pPr>
            <w:r>
              <w:rPr>
                <w:rFonts w:hint="eastAsia" w:hAnsi="宋体" w:cs="宋体"/>
                <w:color w:val="000000"/>
                <w:sz w:val="24"/>
                <w:szCs w:val="24"/>
                <w:lang w:val="en-US" w:bidi="ar-SA"/>
              </w:rPr>
              <w:t>本文件于</w:t>
            </w:r>
            <w:r>
              <w:rPr>
                <w:rFonts w:hint="eastAsia" w:hAnsi="宋体" w:cs="Times New Roman"/>
                <w:b/>
                <w:color w:val="000000"/>
                <w:kern w:val="2"/>
                <w:sz w:val="24"/>
                <w:szCs w:val="24"/>
                <w:lang w:val="en-US" w:bidi="ar-SA"/>
              </w:rPr>
              <w:t>2023</w:t>
            </w:r>
            <w:r>
              <w:rPr>
                <w:rFonts w:hint="eastAsia" w:hAnsi="宋体" w:cs="宋体"/>
                <w:b/>
                <w:color w:val="000000"/>
                <w:sz w:val="24"/>
                <w:szCs w:val="24"/>
                <w:lang w:val="en-US" w:bidi="ar-SA"/>
              </w:rPr>
              <w:t>年</w:t>
            </w:r>
            <w:r>
              <w:rPr>
                <w:rFonts w:hAnsi="宋体" w:cs="Times New Roman"/>
                <w:b/>
                <w:color w:val="000000"/>
                <w:kern w:val="2"/>
                <w:sz w:val="24"/>
                <w:szCs w:val="24"/>
                <w:lang w:val="en-US" w:bidi="ar-SA"/>
              </w:rPr>
              <w:t>X</w:t>
            </w:r>
            <w:r>
              <w:rPr>
                <w:rFonts w:hint="eastAsia" w:hAnsi="宋体" w:cs="宋体"/>
                <w:b/>
                <w:color w:val="000000"/>
                <w:sz w:val="24"/>
                <w:szCs w:val="24"/>
                <w:lang w:val="en-US" w:bidi="ar-SA"/>
              </w:rPr>
              <w:t>月</w:t>
            </w:r>
            <w:r>
              <w:rPr>
                <w:rFonts w:hAnsi="宋体" w:cs="Times New Roman"/>
                <w:b/>
                <w:color w:val="000000"/>
                <w:kern w:val="2"/>
                <w:sz w:val="24"/>
                <w:szCs w:val="24"/>
                <w:lang w:val="en-US" w:bidi="ar-SA"/>
              </w:rPr>
              <w:t>X</w:t>
            </w:r>
            <w:r>
              <w:rPr>
                <w:rFonts w:hint="eastAsia" w:hAnsi="宋体" w:cs="宋体"/>
                <w:b/>
                <w:color w:val="000000"/>
                <w:sz w:val="24"/>
                <w:szCs w:val="24"/>
                <w:lang w:val="en-US" w:bidi="ar-SA"/>
              </w:rPr>
              <w:t>日</w:t>
            </w:r>
            <w:r>
              <w:rPr>
                <w:rFonts w:hAnsi="宋体" w:cs="Times New Roman"/>
                <w:b/>
                <w:color w:val="000000"/>
                <w:kern w:val="2"/>
                <w:sz w:val="24"/>
                <w:szCs w:val="24"/>
                <w:lang w:val="en-US" w:bidi="ar-SA"/>
              </w:rPr>
              <w:t>X</w:t>
            </w:r>
            <w:r>
              <w:rPr>
                <w:rFonts w:hint="eastAsia" w:hAnsi="宋体" w:cs="宋体"/>
                <w:b/>
                <w:color w:val="000000"/>
                <w:sz w:val="24"/>
                <w:szCs w:val="24"/>
                <w:lang w:val="en-US" w:bidi="ar-SA"/>
              </w:rPr>
              <w:t>点</w:t>
            </w:r>
            <w:r>
              <w:rPr>
                <w:rFonts w:hAnsi="宋体" w:cs="Times New Roman"/>
                <w:b/>
                <w:color w:val="000000"/>
                <w:kern w:val="2"/>
                <w:sz w:val="24"/>
                <w:szCs w:val="24"/>
                <w:lang w:val="en-US" w:bidi="ar-SA"/>
              </w:rPr>
              <w:t>X</w:t>
            </w:r>
            <w:r>
              <w:rPr>
                <w:rFonts w:hint="eastAsia" w:hAnsi="宋体" w:cs="宋体"/>
                <w:b/>
                <w:color w:val="000000"/>
                <w:sz w:val="24"/>
                <w:szCs w:val="24"/>
                <w:lang w:val="en-US" w:bidi="ar-SA"/>
              </w:rPr>
              <w:t>分</w:t>
            </w:r>
            <w:r>
              <w:rPr>
                <w:rFonts w:hint="eastAsia" w:hAnsi="宋体" w:cs="宋体"/>
                <w:color w:val="000000"/>
                <w:sz w:val="24"/>
                <w:szCs w:val="24"/>
                <w:lang w:val="en-US" w:bidi="ar-SA"/>
              </w:rPr>
              <w:t>（北京时间）（唱价时间）前不得开封此文件</w:t>
            </w:r>
          </w:p>
          <w:p>
            <w:pPr>
              <w:autoSpaceDE/>
              <w:autoSpaceDN/>
              <w:spacing w:line="360" w:lineRule="auto"/>
              <w:rPr>
                <w:rFonts w:hAnsi="宋体" w:cs="宋体"/>
                <w:color w:val="000000"/>
                <w:sz w:val="24"/>
                <w:szCs w:val="24"/>
                <w:lang w:val="en-US" w:bidi="ar-SA"/>
              </w:rPr>
            </w:pPr>
            <w:r>
              <w:rPr>
                <w:rFonts w:hint="eastAsia" w:hAnsi="宋体" w:cs="宋体"/>
                <w:color w:val="000000"/>
                <w:sz w:val="24"/>
                <w:szCs w:val="24"/>
                <w:lang w:val="en-US" w:bidi="ar-SA"/>
              </w:rPr>
              <w:t>比选申请人名称：</w:t>
            </w:r>
            <w:r>
              <w:rPr>
                <w:rFonts w:hint="eastAsia" w:hAnsi="宋体" w:cs="宋体"/>
                <w:color w:val="000000"/>
                <w:sz w:val="24"/>
                <w:szCs w:val="24"/>
                <w:u w:val="single"/>
                <w:lang w:val="en-US" w:bidi="ar-SA"/>
              </w:rPr>
              <w:t xml:space="preserve">             </w:t>
            </w:r>
            <w:r>
              <w:rPr>
                <w:rFonts w:hint="eastAsia" w:hAnsi="宋体" w:cs="宋体"/>
                <w:color w:val="000000"/>
                <w:sz w:val="24"/>
                <w:szCs w:val="24"/>
                <w:lang w:val="en-US" w:bidi="ar-SA"/>
              </w:rPr>
              <w:t>（公章）</w:t>
            </w:r>
          </w:p>
          <w:p>
            <w:pPr>
              <w:autoSpaceDE/>
              <w:autoSpaceDN/>
              <w:spacing w:line="360" w:lineRule="auto"/>
              <w:rPr>
                <w:rFonts w:hAnsi="宋体" w:cs="宋体"/>
                <w:color w:val="000000"/>
                <w:sz w:val="24"/>
                <w:szCs w:val="24"/>
                <w:lang w:val="en-US" w:bidi="ar-SA"/>
              </w:rPr>
            </w:pPr>
            <w:r>
              <w:rPr>
                <w:rFonts w:hint="eastAsia" w:hAnsi="宋体" w:cs="宋体"/>
                <w:color w:val="000000"/>
                <w:sz w:val="24"/>
                <w:szCs w:val="24"/>
                <w:lang w:val="en-US" w:bidi="ar-SA"/>
              </w:rPr>
              <w:t>比选申请地址、邮编：</w:t>
            </w:r>
            <w:r>
              <w:rPr>
                <w:rFonts w:hint="eastAsia" w:hAnsi="宋体" w:cs="宋体"/>
                <w:color w:val="000000"/>
                <w:sz w:val="24"/>
                <w:szCs w:val="24"/>
                <w:u w:val="single"/>
                <w:lang w:val="en-US" w:bidi="ar-SA"/>
              </w:rPr>
              <w:t xml:space="preserve">                               </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4"/>
                <w:lang w:val="en-US" w:bidi="ar-SA"/>
              </w:rPr>
              <w:t>比选申请人联系人及联系电话：</w:t>
            </w:r>
            <w:r>
              <w:rPr>
                <w:rFonts w:hint="eastAsia" w:hAnsi="宋体" w:cs="宋体"/>
                <w:color w:val="000000"/>
                <w:sz w:val="24"/>
                <w:szCs w:val="24"/>
                <w:u w:val="single"/>
                <w:lang w:val="en-US" w:bidi="ar-SA"/>
              </w:rPr>
              <w:t xml:space="preserve">                       </w:t>
            </w:r>
          </w:p>
        </w:tc>
      </w:tr>
      <w:tr>
        <w:tblPrEx>
          <w:tblCellMar>
            <w:top w:w="0" w:type="dxa"/>
            <w:left w:w="108" w:type="dxa"/>
            <w:bottom w:w="0" w:type="dxa"/>
            <w:right w:w="108" w:type="dxa"/>
          </w:tblCellMar>
        </w:tblPrEx>
        <w:tc>
          <w:tcPr>
            <w:tcW w:w="295" w:type="pct"/>
            <w:tcBorders>
              <w:top w:val="nil"/>
              <w:left w:val="single" w:color="auto" w:sz="8" w:space="0"/>
              <w:bottom w:val="single" w:color="auto" w:sz="4"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22</w:t>
            </w:r>
          </w:p>
        </w:tc>
        <w:tc>
          <w:tcPr>
            <w:tcW w:w="1095" w:type="pct"/>
            <w:tcBorders>
              <w:top w:val="nil"/>
              <w:left w:val="nil"/>
              <w:bottom w:val="single" w:color="auto" w:sz="4"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备选方案和报价</w:t>
            </w:r>
          </w:p>
        </w:tc>
        <w:tc>
          <w:tcPr>
            <w:tcW w:w="3610" w:type="pct"/>
            <w:tcBorders>
              <w:top w:val="nil"/>
              <w:left w:val="nil"/>
              <w:bottom w:val="single" w:color="auto" w:sz="4"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不接受备选方案和多个报价</w:t>
            </w:r>
          </w:p>
        </w:tc>
      </w:tr>
      <w:tr>
        <w:tblPrEx>
          <w:tblCellMar>
            <w:top w:w="0" w:type="dxa"/>
            <w:left w:w="108" w:type="dxa"/>
            <w:bottom w:w="0" w:type="dxa"/>
            <w:right w:w="108" w:type="dxa"/>
          </w:tblCellMar>
        </w:tblPrEx>
        <w:tc>
          <w:tcPr>
            <w:tcW w:w="29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23</w:t>
            </w:r>
          </w:p>
        </w:tc>
        <w:tc>
          <w:tcPr>
            <w:tcW w:w="1095"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最高限价</w:t>
            </w:r>
          </w:p>
        </w:tc>
        <w:tc>
          <w:tcPr>
            <w:tcW w:w="3610"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详见本比选文件第一章 比选公告</w:t>
            </w:r>
          </w:p>
        </w:tc>
      </w:tr>
      <w:tr>
        <w:tblPrEx>
          <w:tblCellMar>
            <w:top w:w="0" w:type="dxa"/>
            <w:left w:w="108" w:type="dxa"/>
            <w:bottom w:w="0" w:type="dxa"/>
            <w:right w:w="108" w:type="dxa"/>
          </w:tblCellMar>
        </w:tblPrEx>
        <w:tc>
          <w:tcPr>
            <w:tcW w:w="29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24</w:t>
            </w:r>
          </w:p>
        </w:tc>
        <w:tc>
          <w:tcPr>
            <w:tcW w:w="1095"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sz w:val="24"/>
              </w:rPr>
              <w:t>参选报价的其他要求</w:t>
            </w:r>
          </w:p>
        </w:tc>
        <w:tc>
          <w:tcPr>
            <w:tcW w:w="3610" w:type="pct"/>
            <w:tcBorders>
              <w:top w:val="single" w:color="auto" w:sz="4" w:space="0"/>
              <w:left w:val="nil"/>
              <w:bottom w:val="single" w:color="auto" w:sz="8" w:space="0"/>
              <w:right w:val="single" w:color="auto" w:sz="8" w:space="0"/>
            </w:tcBorders>
            <w:shd w:val="clear" w:color="auto" w:fill="auto"/>
          </w:tcPr>
          <w:p>
            <w:pPr>
              <w:widowControl/>
              <w:autoSpaceDE/>
              <w:autoSpaceDN/>
              <w:spacing w:line="360" w:lineRule="auto"/>
              <w:rPr>
                <w:sz w:val="24"/>
              </w:rPr>
            </w:pPr>
            <w:r>
              <w:rPr>
                <w:rFonts w:hint="eastAsia"/>
                <w:sz w:val="24"/>
              </w:rPr>
              <w:t>1.比选申请人应对参选报价进行严格的费用预算。所有参加本次比选的单位应充分计算和考虑其完成项目需要支付的各项费用（含税费）并计入参选报价总价。</w:t>
            </w:r>
          </w:p>
          <w:p>
            <w:pPr>
              <w:widowControl/>
              <w:autoSpaceDE/>
              <w:autoSpaceDN/>
              <w:spacing w:line="360" w:lineRule="auto"/>
              <w:rPr>
                <w:sz w:val="24"/>
              </w:rPr>
            </w:pPr>
            <w:r>
              <w:rPr>
                <w:rFonts w:hint="eastAsia"/>
                <w:sz w:val="24"/>
              </w:rPr>
              <w:t>2.比选申请人的参选报价应费用适中，不得以低于成本的报价进行恶性竞争，最低参选报价并非中选的唯一条件。</w:t>
            </w:r>
          </w:p>
          <w:p>
            <w:pPr>
              <w:widowControl/>
              <w:autoSpaceDE/>
              <w:autoSpaceDN/>
              <w:spacing w:line="360" w:lineRule="auto"/>
              <w:rPr>
                <w:sz w:val="24"/>
              </w:rPr>
            </w:pPr>
            <w:r>
              <w:rPr>
                <w:rFonts w:hint="eastAsia"/>
                <w:sz w:val="24"/>
              </w:rPr>
              <w:t>3.比选申请人应按照国家有关规定的取费标准，结合本单位及本工程实际情况，充分考虑市场情况，其费用包括但不限于：直接成本（人员工资  及差旅费、食宿、补助费等，其他专项开支等）、间接成本（公司管理人员工资、行政办公费、业务培训费等）、税金、利润等为完成本合同所需的全部费用。参选报价为比选申请人在比选申请文件中提出的各项支付金额的总和，参选报价还应充分考虑比选文件、合同中所明示或暗示的一切费用与价格。</w:t>
            </w:r>
          </w:p>
          <w:p>
            <w:pPr>
              <w:widowControl/>
              <w:autoSpaceDE/>
              <w:autoSpaceDN/>
              <w:spacing w:line="360" w:lineRule="auto"/>
              <w:rPr>
                <w:sz w:val="24"/>
              </w:rPr>
            </w:pPr>
            <w:r>
              <w:rPr>
                <w:rFonts w:hint="eastAsia"/>
                <w:sz w:val="24"/>
              </w:rPr>
              <w:t>4.比选申请人需在项目所在地完成合同工作，比选申请人应充分考虑人身、财产、交通等安全，应为本项目工作人员、财产等购置保险，保险费用不单独报价，在参选报价中予以综合考虑。</w:t>
            </w:r>
          </w:p>
        </w:tc>
      </w:tr>
      <w:tr>
        <w:tblPrEx>
          <w:tblCellMar>
            <w:top w:w="0" w:type="dxa"/>
            <w:left w:w="108" w:type="dxa"/>
            <w:bottom w:w="0" w:type="dxa"/>
            <w:right w:w="108" w:type="dxa"/>
          </w:tblCellMar>
        </w:tblPrEx>
        <w:tc>
          <w:tcPr>
            <w:tcW w:w="29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25</w:t>
            </w:r>
          </w:p>
        </w:tc>
        <w:tc>
          <w:tcPr>
            <w:tcW w:w="1095"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sz w:val="24"/>
              </w:rPr>
            </w:pPr>
            <w:r>
              <w:rPr>
                <w:rFonts w:hint="eastAsia"/>
                <w:sz w:val="24"/>
              </w:rPr>
              <w:t>参选保证金</w:t>
            </w:r>
          </w:p>
        </w:tc>
        <w:tc>
          <w:tcPr>
            <w:tcW w:w="3610" w:type="pct"/>
            <w:tcBorders>
              <w:top w:val="single" w:color="auto" w:sz="4" w:space="0"/>
              <w:left w:val="nil"/>
              <w:bottom w:val="single" w:color="auto" w:sz="8" w:space="0"/>
              <w:right w:val="single" w:color="auto" w:sz="8" w:space="0"/>
            </w:tcBorders>
            <w:shd w:val="clear" w:color="auto" w:fill="auto"/>
          </w:tcPr>
          <w:p>
            <w:pPr>
              <w:widowControl/>
              <w:autoSpaceDE/>
              <w:autoSpaceDN/>
              <w:spacing w:line="360" w:lineRule="auto"/>
              <w:rPr>
                <w:sz w:val="24"/>
              </w:rPr>
            </w:pPr>
            <w:r>
              <w:rPr>
                <w:rFonts w:hint="eastAsia"/>
                <w:sz w:val="24"/>
              </w:rPr>
              <w:t>无</w:t>
            </w:r>
          </w:p>
        </w:tc>
      </w:tr>
      <w:tr>
        <w:tblPrEx>
          <w:tblCellMar>
            <w:top w:w="0" w:type="dxa"/>
            <w:left w:w="108" w:type="dxa"/>
            <w:bottom w:w="0" w:type="dxa"/>
            <w:right w:w="108" w:type="dxa"/>
          </w:tblCellMar>
        </w:tblPrEx>
        <w:tc>
          <w:tcPr>
            <w:tcW w:w="29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26</w:t>
            </w:r>
          </w:p>
        </w:tc>
        <w:tc>
          <w:tcPr>
            <w:tcW w:w="1095"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sz w:val="24"/>
              </w:rPr>
            </w:pPr>
            <w:r>
              <w:rPr>
                <w:rFonts w:hint="eastAsia"/>
                <w:sz w:val="24"/>
              </w:rPr>
              <w:t>履约保证金</w:t>
            </w:r>
          </w:p>
        </w:tc>
        <w:tc>
          <w:tcPr>
            <w:tcW w:w="3610" w:type="pct"/>
            <w:tcBorders>
              <w:top w:val="single" w:color="auto" w:sz="4" w:space="0"/>
              <w:left w:val="nil"/>
              <w:bottom w:val="single" w:color="auto" w:sz="8" w:space="0"/>
              <w:right w:val="single" w:color="auto" w:sz="8" w:space="0"/>
            </w:tcBorders>
            <w:shd w:val="clear" w:color="auto" w:fill="auto"/>
          </w:tcPr>
          <w:p>
            <w:pPr>
              <w:widowControl/>
              <w:autoSpaceDE/>
              <w:autoSpaceDN/>
              <w:spacing w:line="360" w:lineRule="auto"/>
              <w:rPr>
                <w:sz w:val="24"/>
              </w:rPr>
            </w:pPr>
            <w:r>
              <w:rPr>
                <w:rFonts w:hint="eastAsia"/>
                <w:sz w:val="24"/>
              </w:rPr>
              <w:t>无</w:t>
            </w:r>
          </w:p>
        </w:tc>
      </w:tr>
      <w:tr>
        <w:tblPrEx>
          <w:tblCellMar>
            <w:top w:w="0" w:type="dxa"/>
            <w:left w:w="108" w:type="dxa"/>
            <w:bottom w:w="0" w:type="dxa"/>
            <w:right w:w="108" w:type="dxa"/>
          </w:tblCellMar>
        </w:tblPrEx>
        <w:tc>
          <w:tcPr>
            <w:tcW w:w="29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等线"/>
                <w:color w:val="000000"/>
                <w:sz w:val="24"/>
              </w:rPr>
              <w:t>27</w:t>
            </w:r>
          </w:p>
        </w:tc>
        <w:tc>
          <w:tcPr>
            <w:tcW w:w="1095"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异常情况处理</w:t>
            </w:r>
          </w:p>
        </w:tc>
        <w:tc>
          <w:tcPr>
            <w:tcW w:w="3610"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各标段：如递交比选申请文件的比选申请人低于3名，视为比选失败并组织重新公告。如参与比选的合格比选申请人低于3名，由评审小组判断项目是否存在竞争性，存在竞争性且合格的比选申请人为2名时，继续评审并沿用公开比选的评审方法；存在竞争性且合格的比选申请人为1名时需变更为谈判；不存在竞争性的，由评审小组否决全部参选。</w:t>
            </w:r>
          </w:p>
        </w:tc>
      </w:tr>
      <w:tr>
        <w:tblPrEx>
          <w:tblCellMar>
            <w:top w:w="0" w:type="dxa"/>
            <w:left w:w="108" w:type="dxa"/>
            <w:bottom w:w="0" w:type="dxa"/>
            <w:right w:w="108" w:type="dxa"/>
          </w:tblCellMar>
        </w:tblPrEx>
        <w:tc>
          <w:tcPr>
            <w:tcW w:w="29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等线"/>
                <w:color w:val="000000"/>
                <w:sz w:val="24"/>
              </w:rPr>
            </w:pPr>
            <w:r>
              <w:rPr>
                <w:rFonts w:hint="eastAsia" w:hAnsi="等线"/>
                <w:color w:val="000000"/>
                <w:sz w:val="24"/>
              </w:rPr>
              <w:t>2</w:t>
            </w:r>
            <w:r>
              <w:rPr>
                <w:rFonts w:hAnsi="等线"/>
                <w:color w:val="000000"/>
                <w:sz w:val="24"/>
              </w:rPr>
              <w:t>8</w:t>
            </w:r>
          </w:p>
        </w:tc>
        <w:tc>
          <w:tcPr>
            <w:tcW w:w="1095"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highlight w:val="yellow"/>
                <w:lang w:val="en-US" w:bidi="ar-SA"/>
              </w:rPr>
            </w:pPr>
            <w:r>
              <w:rPr>
                <w:rFonts w:hint="eastAsia" w:hAnsi="宋体" w:cs="宋体"/>
                <w:color w:val="000000"/>
                <w:sz w:val="24"/>
                <w:szCs w:val="28"/>
                <w:lang w:val="en-US" w:bidi="ar-SA"/>
              </w:rPr>
              <w:t>公开接受社会监督</w:t>
            </w:r>
          </w:p>
        </w:tc>
        <w:tc>
          <w:tcPr>
            <w:tcW w:w="3610" w:type="pct"/>
            <w:tcBorders>
              <w:top w:val="single" w:color="auto" w:sz="4" w:space="0"/>
              <w:left w:val="nil"/>
              <w:bottom w:val="single" w:color="auto" w:sz="8" w:space="0"/>
              <w:right w:val="single" w:color="auto" w:sz="8" w:space="0"/>
            </w:tcBorders>
            <w:shd w:val="clear" w:color="auto" w:fill="auto"/>
            <w:vAlign w:val="center"/>
          </w:tcPr>
          <w:p>
            <w:pPr>
              <w:widowControl/>
              <w:wordWrap w:val="0"/>
              <w:autoSpaceDE/>
              <w:autoSpaceDN/>
              <w:spacing w:line="360" w:lineRule="auto"/>
              <w:rPr>
                <w:rFonts w:hAnsi="宋体" w:cs="宋体"/>
                <w:color w:val="000000"/>
                <w:sz w:val="24"/>
                <w:szCs w:val="28"/>
                <w:highlight w:val="yellow"/>
                <w:lang w:val="en-US" w:bidi="ar-SA"/>
              </w:rPr>
            </w:pPr>
            <w:r>
              <w:rPr>
                <w:rFonts w:hAnsi="宋体" w:cs="宋体"/>
                <w:color w:val="000000"/>
                <w:sz w:val="24"/>
                <w:szCs w:val="28"/>
                <w:lang w:val="en-US" w:bidi="ar-SA"/>
              </w:rPr>
              <w:t>将比选结果在四川蜀道物流集团有限公司官网（http://www.shudaowl.com/）、蜀物智采平台（https://scjt.tabe.cn/）上公示3日，以接受社会公开监督。比选申请人或者其他利害关系人对评</w:t>
            </w:r>
            <w:r>
              <w:rPr>
                <w:rFonts w:hint="eastAsia" w:hAnsi="宋体" w:cs="宋体"/>
                <w:color w:val="000000"/>
                <w:sz w:val="24"/>
                <w:szCs w:val="28"/>
                <w:lang w:val="en-US" w:bidi="ar-SA"/>
              </w:rPr>
              <w:t>审</w:t>
            </w:r>
            <w:r>
              <w:rPr>
                <w:rFonts w:hAnsi="宋体" w:cs="宋体"/>
                <w:color w:val="000000"/>
                <w:sz w:val="24"/>
                <w:szCs w:val="28"/>
                <w:lang w:val="en-US" w:bidi="ar-SA"/>
              </w:rPr>
              <w:t>结果有异议的，应当在公示期间提出。</w:t>
            </w:r>
          </w:p>
        </w:tc>
      </w:tr>
      <w:tr>
        <w:tblPrEx>
          <w:tblCellMar>
            <w:top w:w="0" w:type="dxa"/>
            <w:left w:w="108" w:type="dxa"/>
            <w:bottom w:w="0" w:type="dxa"/>
            <w:right w:w="108" w:type="dxa"/>
          </w:tblCellMar>
        </w:tblPrEx>
        <w:tc>
          <w:tcPr>
            <w:tcW w:w="29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等线"/>
                <w:color w:val="000000"/>
                <w:sz w:val="24"/>
              </w:rPr>
            </w:pPr>
            <w:r>
              <w:rPr>
                <w:rFonts w:hint="eastAsia" w:hAnsi="等线"/>
                <w:color w:val="000000"/>
                <w:sz w:val="24"/>
              </w:rPr>
              <w:t>2</w:t>
            </w:r>
            <w:r>
              <w:rPr>
                <w:rFonts w:hAnsi="等线"/>
                <w:color w:val="000000"/>
                <w:sz w:val="24"/>
              </w:rPr>
              <w:t>9</w:t>
            </w:r>
          </w:p>
        </w:tc>
        <w:tc>
          <w:tcPr>
            <w:tcW w:w="1095"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提出异议的要求</w:t>
            </w:r>
          </w:p>
        </w:tc>
        <w:tc>
          <w:tcPr>
            <w:tcW w:w="3610" w:type="pct"/>
            <w:tcBorders>
              <w:top w:val="single" w:color="auto" w:sz="4" w:space="0"/>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1.异议提出人应为比选申请人或与本项目有关的利害关系人；</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2.异议应以书面形式通过异议接收邮箱实名提出，书面异议材料应包括异议事项及证明材料等内容，异议应当包括下列内容：</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1）异议人的名称、地址、联系人及联系电话；</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2）异议项目名称、标段（如有）；</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3）具体明确的异议事项和相关的主张、诉求；</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4）必要的证明材料和依据；</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5）提出异议的日期；</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3.异议人为法人或者其他组织的，异议函应当由法定代表人/负责人或者其授权代表签字，并加盖单位公章。异议人为自然人的，应当由本人签字并提供有效的身份证明；</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4.异议应在公示期内提出;</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5.异议人应提供关于异议事项的有效线索，且应配合查证；</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6.书面异议材料加盖单位公章后以纸质文件或电子扫描件提交；</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7.异议人对其他比选申请人的</w:t>
            </w:r>
            <w:r>
              <w:rPr>
                <w:rFonts w:hint="eastAsia" w:hAnsi="宋体" w:cs="宋体"/>
                <w:color w:val="000000"/>
                <w:sz w:val="24"/>
                <w:szCs w:val="28"/>
                <w:lang w:val="en-US" w:bidi="ar-SA"/>
              </w:rPr>
              <w:t>比选申请</w:t>
            </w:r>
            <w:r>
              <w:rPr>
                <w:rFonts w:hAnsi="宋体" w:cs="宋体"/>
                <w:color w:val="000000"/>
                <w:sz w:val="24"/>
                <w:szCs w:val="28"/>
                <w:lang w:val="en-US" w:bidi="ar-SA"/>
              </w:rPr>
              <w:t>文件及评审资料等非公开内容提出异议的，应提供合法信息来源；</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 xml:space="preserve">8. </w:t>
            </w:r>
            <w:r>
              <w:rPr>
                <w:rFonts w:hint="eastAsia" w:hAnsi="宋体" w:cs="宋体"/>
                <w:color w:val="000000"/>
                <w:sz w:val="24"/>
                <w:szCs w:val="28"/>
                <w:lang w:val="en-US" w:bidi="ar-SA"/>
              </w:rPr>
              <w:t>比选</w:t>
            </w:r>
            <w:r>
              <w:rPr>
                <w:rFonts w:hAnsi="宋体" w:cs="宋体"/>
                <w:color w:val="000000"/>
                <w:sz w:val="24"/>
                <w:szCs w:val="28"/>
                <w:lang w:val="en-US" w:bidi="ar-SA"/>
              </w:rPr>
              <w:t>人/</w:t>
            </w:r>
            <w:r>
              <w:rPr>
                <w:rFonts w:hint="eastAsia" w:hAnsi="宋体" w:cs="宋体"/>
                <w:color w:val="000000"/>
                <w:sz w:val="24"/>
                <w:szCs w:val="28"/>
                <w:lang w:val="en-US" w:bidi="ar-SA"/>
              </w:rPr>
              <w:t>比选</w:t>
            </w:r>
            <w:r>
              <w:rPr>
                <w:rFonts w:hAnsi="宋体" w:cs="宋体"/>
                <w:color w:val="000000"/>
                <w:sz w:val="24"/>
                <w:szCs w:val="28"/>
                <w:lang w:val="en-US" w:bidi="ar-SA"/>
              </w:rPr>
              <w:t>代理机构认为异议材料不明确、不充分，需要异议人进一步明确或补充的，异议人应按要求进行明确或补充；</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9.异议人提出的异议事项属于以下三种情况的，</w:t>
            </w:r>
            <w:r>
              <w:rPr>
                <w:rFonts w:hint="eastAsia" w:hAnsi="宋体" w:cs="宋体"/>
                <w:color w:val="000000"/>
                <w:sz w:val="24"/>
                <w:szCs w:val="28"/>
                <w:lang w:val="en-US" w:bidi="ar-SA"/>
              </w:rPr>
              <w:t>比选</w:t>
            </w:r>
            <w:r>
              <w:rPr>
                <w:rFonts w:hAnsi="宋体" w:cs="宋体"/>
                <w:color w:val="000000"/>
                <w:sz w:val="24"/>
                <w:szCs w:val="28"/>
                <w:lang w:val="en-US" w:bidi="ar-SA"/>
              </w:rPr>
              <w:t>人有权不予受理：</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1）异议提出不符合上述任意一项要求的；</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2）已作出明确答复，且无新的事实证据，就同一事项反复提出异议的；</w:t>
            </w:r>
          </w:p>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w:t>
            </w:r>
            <w:r>
              <w:rPr>
                <w:rFonts w:hAnsi="宋体" w:cs="宋体"/>
                <w:color w:val="000000"/>
                <w:sz w:val="24"/>
                <w:szCs w:val="28"/>
                <w:lang w:val="en-US" w:bidi="ar-SA"/>
              </w:rPr>
              <w:t>3）异议事项已进入行政投诉、行政复议、行政诉讼或者其他司法程序的；</w:t>
            </w:r>
          </w:p>
          <w:p>
            <w:pPr>
              <w:widowControl/>
              <w:autoSpaceDE/>
              <w:autoSpaceDN/>
              <w:spacing w:line="360" w:lineRule="auto"/>
              <w:rPr>
                <w:rFonts w:hAnsi="宋体" w:cs="宋体"/>
                <w:color w:val="000000"/>
                <w:sz w:val="24"/>
                <w:szCs w:val="28"/>
                <w:lang w:val="en-US" w:bidi="ar-SA"/>
              </w:rPr>
            </w:pPr>
            <w:r>
              <w:rPr>
                <w:rFonts w:hAnsi="宋体" w:cs="宋体"/>
                <w:color w:val="000000"/>
                <w:sz w:val="24"/>
                <w:szCs w:val="28"/>
                <w:lang w:val="en-US" w:bidi="ar-SA"/>
              </w:rPr>
              <w:t>10. 异议人应保证异议内容和相关证明材料的真实性及其来源的合法性，并承担相应的法律责任。</w:t>
            </w:r>
          </w:p>
        </w:tc>
      </w:tr>
      <w:tr>
        <w:tblPrEx>
          <w:tblCellMar>
            <w:top w:w="0" w:type="dxa"/>
            <w:left w:w="108" w:type="dxa"/>
            <w:bottom w:w="0" w:type="dxa"/>
            <w:right w:w="108" w:type="dxa"/>
          </w:tblCellMar>
        </w:tblPrEx>
        <w:tc>
          <w:tcPr>
            <w:tcW w:w="295" w:type="pct"/>
            <w:tcBorders>
              <w:top w:val="nil"/>
              <w:left w:val="single" w:color="auto" w:sz="8" w:space="0"/>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Ansi="等线"/>
                <w:color w:val="000000"/>
                <w:sz w:val="24"/>
              </w:rPr>
              <w:t>30</w:t>
            </w:r>
          </w:p>
        </w:tc>
        <w:tc>
          <w:tcPr>
            <w:tcW w:w="1095"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代理服务费</w:t>
            </w:r>
          </w:p>
        </w:tc>
        <w:tc>
          <w:tcPr>
            <w:tcW w:w="3610" w:type="pct"/>
            <w:tcBorders>
              <w:top w:val="nil"/>
              <w:left w:val="nil"/>
              <w:bottom w:val="single" w:color="auto" w:sz="8" w:space="0"/>
              <w:right w:val="single" w:color="auto" w:sz="8" w:space="0"/>
            </w:tcBorders>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sz w:val="24"/>
                <w:szCs w:val="28"/>
                <w:lang w:val="en-US" w:bidi="ar-SA"/>
              </w:rPr>
              <w:t>本项目代理服务费：1</w:t>
            </w:r>
            <w:r>
              <w:rPr>
                <w:rFonts w:hAnsi="宋体" w:cs="宋体"/>
                <w:color w:val="000000"/>
                <w:sz w:val="24"/>
                <w:szCs w:val="28"/>
                <w:lang w:val="en-US" w:bidi="ar-SA"/>
              </w:rPr>
              <w:t>500</w:t>
            </w:r>
            <w:r>
              <w:rPr>
                <w:rFonts w:hint="eastAsia" w:hAnsi="宋体" w:cs="宋体"/>
                <w:color w:val="000000"/>
                <w:sz w:val="24"/>
                <w:szCs w:val="28"/>
                <w:lang w:val="en-US" w:bidi="ar-SA"/>
              </w:rPr>
              <w:t>元。</w:t>
            </w:r>
          </w:p>
          <w:p>
            <w:pPr>
              <w:pStyle w:val="2"/>
              <w:spacing w:line="360" w:lineRule="auto"/>
              <w:rPr>
                <w:rFonts w:ascii="仿宋_GB2312" w:hAnsi="宋体" w:eastAsia="仿宋_GB2312" w:cs="宋体"/>
                <w:color w:val="000000"/>
                <w:sz w:val="24"/>
                <w:szCs w:val="28"/>
                <w:lang w:val="en-US" w:bidi="ar-SA"/>
              </w:rPr>
            </w:pPr>
            <w:r>
              <w:rPr>
                <w:rFonts w:hint="eastAsia" w:ascii="仿宋_GB2312" w:hAnsi="宋体" w:eastAsia="仿宋_GB2312" w:cs="宋体"/>
                <w:color w:val="000000"/>
                <w:sz w:val="24"/>
                <w:szCs w:val="28"/>
                <w:lang w:val="en-US" w:bidi="ar-SA"/>
              </w:rPr>
              <w:t>若中选人</w:t>
            </w:r>
            <w:r>
              <w:rPr>
                <w:rFonts w:ascii="仿宋_GB2312" w:hAnsi="宋体" w:eastAsia="仿宋_GB2312" w:cs="宋体"/>
                <w:color w:val="000000"/>
                <w:sz w:val="24"/>
                <w:szCs w:val="28"/>
                <w:lang w:val="en-US" w:bidi="ar-SA"/>
              </w:rPr>
              <w:t>多于一个，则代理服务费应由多个中选人进行分摊。</w:t>
            </w:r>
            <w:r>
              <w:rPr>
                <w:rFonts w:hint="eastAsia" w:ascii="仿宋_GB2312" w:hAnsi="宋体" w:eastAsia="仿宋_GB2312" w:cs="宋体"/>
                <w:color w:val="000000"/>
                <w:sz w:val="24"/>
                <w:szCs w:val="28"/>
                <w:lang w:val="en-US" w:bidi="ar-SA"/>
              </w:rPr>
              <w:t>分摊金额为每个中选人</w:t>
            </w:r>
            <w:r>
              <w:rPr>
                <w:rFonts w:ascii="仿宋_GB2312" w:hAnsi="宋体" w:eastAsia="仿宋_GB2312" w:cs="宋体"/>
                <w:color w:val="000000"/>
                <w:sz w:val="24"/>
                <w:szCs w:val="28"/>
                <w:lang w:val="en-US" w:bidi="ar-SA"/>
              </w:rPr>
              <w:t>的中选金额占总金额的比例乘以</w:t>
            </w:r>
            <w:r>
              <w:rPr>
                <w:rFonts w:hint="eastAsia" w:ascii="仿宋_GB2312" w:hAnsi="宋体" w:eastAsia="仿宋_GB2312" w:cs="宋体"/>
                <w:color w:val="000000"/>
                <w:sz w:val="24"/>
                <w:szCs w:val="28"/>
                <w:lang w:val="en-US" w:bidi="ar-SA"/>
              </w:rPr>
              <w:t>本项目</w:t>
            </w:r>
            <w:r>
              <w:rPr>
                <w:rFonts w:ascii="仿宋_GB2312" w:hAnsi="宋体" w:eastAsia="仿宋_GB2312" w:cs="宋体"/>
                <w:color w:val="000000"/>
                <w:sz w:val="24"/>
                <w:szCs w:val="28"/>
                <w:lang w:val="en-US" w:bidi="ar-SA"/>
              </w:rPr>
              <w:t>的代理服务费总金额。</w:t>
            </w:r>
          </w:p>
          <w:p>
            <w:pPr>
              <w:widowControl/>
              <w:autoSpaceDE/>
              <w:autoSpaceDN/>
              <w:spacing w:line="360" w:lineRule="auto"/>
              <w:rPr>
                <w:lang w:val="en-US" w:bidi="ar-SA"/>
              </w:rPr>
            </w:pPr>
            <w:r>
              <w:rPr>
                <w:rFonts w:hint="eastAsia" w:hAnsi="宋体" w:cs="宋体"/>
                <w:color w:val="000000"/>
                <w:sz w:val="24"/>
                <w:szCs w:val="28"/>
                <w:lang w:val="en-US" w:bidi="ar-SA"/>
              </w:rPr>
              <w:t>中选人在收到比选代理服务费缴纳通知书后5日内向比选代理机构支付比选代理服务费。</w:t>
            </w:r>
          </w:p>
        </w:tc>
      </w:tr>
    </w:tbl>
    <w:p>
      <w:pPr>
        <w:pStyle w:val="4"/>
        <w:rPr>
          <w:rFonts w:ascii="仿宋_GB2312"/>
          <w:sz w:val="24"/>
          <w:szCs w:val="24"/>
        </w:rPr>
      </w:pPr>
      <w:r>
        <w:rPr>
          <w:rFonts w:hint="eastAsia" w:ascii="仿宋_GB2312"/>
          <w:sz w:val="24"/>
          <w:szCs w:val="24"/>
          <w:lang w:val="en-US"/>
        </w:rPr>
        <w:t>二</w:t>
      </w:r>
      <w:r>
        <w:rPr>
          <w:rFonts w:hint="eastAsia" w:ascii="仿宋_GB2312"/>
          <w:sz w:val="24"/>
          <w:szCs w:val="24"/>
        </w:rPr>
        <w:t>、比选申请人的资格要求</w:t>
      </w:r>
    </w:p>
    <w:p>
      <w:pPr>
        <w:spacing w:line="560" w:lineRule="exact"/>
        <w:ind w:firstLine="480" w:firstLineChars="200"/>
        <w:rPr>
          <w:rFonts w:hAnsi="仿宋"/>
          <w:sz w:val="24"/>
          <w:szCs w:val="24"/>
        </w:rPr>
      </w:pPr>
      <w:r>
        <w:rPr>
          <w:rFonts w:hint="eastAsia" w:hAnsi="仿宋"/>
          <w:sz w:val="24"/>
          <w:szCs w:val="24"/>
        </w:rPr>
        <w:t>详见</w:t>
      </w:r>
      <w:r>
        <w:rPr>
          <w:rFonts w:hint="eastAsia" w:hAnsi="宋体" w:cs="宋体"/>
          <w:color w:val="000000"/>
          <w:sz w:val="24"/>
          <w:szCs w:val="24"/>
          <w:lang w:val="en-US" w:bidi="ar-SA"/>
        </w:rPr>
        <w:t>本比选文件第一章 比选公告。</w:t>
      </w:r>
    </w:p>
    <w:p>
      <w:pPr>
        <w:pStyle w:val="4"/>
        <w:rPr>
          <w:rFonts w:ascii="仿宋_GB2312"/>
          <w:sz w:val="24"/>
          <w:szCs w:val="24"/>
        </w:rPr>
      </w:pPr>
      <w:r>
        <w:rPr>
          <w:rFonts w:hint="eastAsia" w:ascii="仿宋_GB2312"/>
          <w:sz w:val="24"/>
          <w:szCs w:val="24"/>
          <w:lang w:val="en-US"/>
        </w:rPr>
        <w:t>三</w:t>
      </w:r>
      <w:r>
        <w:rPr>
          <w:rFonts w:hint="eastAsia" w:ascii="仿宋_GB2312"/>
          <w:sz w:val="24"/>
          <w:szCs w:val="24"/>
        </w:rPr>
        <w:t>、服务范围</w:t>
      </w:r>
    </w:p>
    <w:p>
      <w:pPr>
        <w:spacing w:line="560" w:lineRule="exact"/>
        <w:ind w:firstLine="480" w:firstLineChars="200"/>
        <w:rPr>
          <w:rFonts w:hAnsi="仿宋"/>
          <w:sz w:val="24"/>
          <w:szCs w:val="24"/>
        </w:rPr>
      </w:pPr>
      <w:r>
        <w:rPr>
          <w:rFonts w:hint="eastAsia" w:hAnsi="仿宋"/>
          <w:sz w:val="24"/>
          <w:szCs w:val="24"/>
        </w:rPr>
        <w:t>详见</w:t>
      </w:r>
      <w:r>
        <w:rPr>
          <w:rFonts w:hint="eastAsia" w:hAnsi="宋体" w:cs="宋体"/>
          <w:color w:val="000000"/>
          <w:sz w:val="24"/>
          <w:szCs w:val="24"/>
          <w:lang w:val="en-US" w:bidi="ar-SA"/>
        </w:rPr>
        <w:t>本比选文件第一章 比选公告。</w:t>
      </w:r>
    </w:p>
    <w:p>
      <w:pPr>
        <w:pStyle w:val="4"/>
        <w:rPr>
          <w:rFonts w:ascii="仿宋_GB2312"/>
          <w:sz w:val="24"/>
          <w:szCs w:val="24"/>
        </w:rPr>
      </w:pPr>
      <w:r>
        <w:rPr>
          <w:rFonts w:hint="eastAsia" w:ascii="仿宋_GB2312"/>
          <w:sz w:val="24"/>
          <w:szCs w:val="24"/>
          <w:lang w:val="en-US"/>
        </w:rPr>
        <w:t>四</w:t>
      </w:r>
      <w:r>
        <w:rPr>
          <w:rFonts w:hint="eastAsia" w:ascii="仿宋_GB2312"/>
          <w:sz w:val="24"/>
          <w:szCs w:val="24"/>
        </w:rPr>
        <w:t>、比选方法</w:t>
      </w:r>
    </w:p>
    <w:p>
      <w:pPr>
        <w:spacing w:line="560" w:lineRule="exact"/>
        <w:ind w:firstLine="480" w:firstLineChars="200"/>
        <w:rPr>
          <w:rFonts w:hAnsi="仿宋"/>
          <w:sz w:val="24"/>
          <w:szCs w:val="24"/>
        </w:rPr>
      </w:pPr>
      <w:r>
        <w:rPr>
          <w:rFonts w:hint="eastAsia" w:hAnsi="仿宋"/>
          <w:sz w:val="24"/>
          <w:szCs w:val="24"/>
        </w:rPr>
        <w:t>采用综合评分法。</w:t>
      </w:r>
    </w:p>
    <w:p>
      <w:pPr>
        <w:spacing w:line="560" w:lineRule="exact"/>
        <w:ind w:firstLine="480" w:firstLineChars="200"/>
        <w:rPr>
          <w:rFonts w:hAnsi="仿宋"/>
          <w:sz w:val="24"/>
          <w:szCs w:val="24"/>
        </w:rPr>
      </w:pPr>
      <w:r>
        <w:rPr>
          <w:rFonts w:hint="eastAsia" w:hAnsi="仿宋"/>
          <w:sz w:val="24"/>
          <w:szCs w:val="24"/>
        </w:rPr>
        <w:t>比选申请人的报价（在比选申请书中填写）为一次性不得更改的报价且不得高出最高限价。本次比选设比选评审小组，评审小组根据项目要求和各比选申请人提供的报价等情况，依据本比选文件的第四章 比选办法进行评分，取满足比选要求、质量和服务的比选申请人，最终评分最高的比选申请人确定为中选人。比选评审小组成员采用记名评分的方式，在评分表中的任何改写处，均必须由该评分人员小签。</w:t>
      </w:r>
    </w:p>
    <w:p>
      <w:pPr>
        <w:pStyle w:val="4"/>
        <w:rPr>
          <w:rFonts w:ascii="仿宋_GB2312"/>
          <w:sz w:val="24"/>
          <w:szCs w:val="24"/>
        </w:rPr>
      </w:pPr>
      <w:r>
        <w:rPr>
          <w:rFonts w:hint="eastAsia" w:ascii="仿宋_GB2312"/>
          <w:sz w:val="24"/>
          <w:szCs w:val="24"/>
          <w:lang w:val="en-US"/>
        </w:rPr>
        <w:t>五</w:t>
      </w:r>
      <w:r>
        <w:rPr>
          <w:rFonts w:hint="eastAsia" w:ascii="仿宋_GB2312"/>
          <w:sz w:val="24"/>
          <w:szCs w:val="24"/>
        </w:rPr>
        <w:t>、比选申请文件编制及密封</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比选申请人应提交比选申请文件。比选申请人应当编制一份比选申请文件“正本”和比选申请人须知前附表所述份数的“副本”和“电子版”，副本为正本复印件，电子版为正本的兼容OFFICE2003文档格式，文件应不做压缩处理、不留密码。比选申请文件正本和副本如有不一致之处，以正本为准；纸质版文件与电子版文件不一致时，以纸质版文件为准。</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比选申请文件应采用中文写成，并统一用A4纸打印装订成册，分正本一套、副本一套、电子版一套分别密封，比选申请文件内容编制要求详见第五章 比选申请文件格式。</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比选申请文件的打印和书写应清楚工整，任何行间插字、涂改或增删，必须由比选申请人的法定代表人或其授权代表签字。字迹潦草、表达不清或可能导致非唯一理解的比选申请文件可能视为无效参选。</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比选申请文件正本、副本必须装订成册，比选申请文件不得采用订书机、活页夹、打孔夹等可更换页面的方式装订。</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每份比选申请文件的正本、副本应当分别装订，并于封面上明确标明“正本”、“副本”字样。</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比选申请文件应当按照比选文件规定密封包装，并于封装封面上明确标明“正本”、“副本”和“电子版”字样。密封的所有粘接缝隙必须加盖单位公章或者由比选申请人的法定代表人或者其委托代理人签字。</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密封外层包封应当写明项目名称、项目编号、比选申请人名称和地址、并注明唱价时间以前不得开封。</w:t>
      </w:r>
    </w:p>
    <w:p>
      <w:pPr>
        <w:pStyle w:val="29"/>
        <w:numPr>
          <w:ilvl w:val="0"/>
          <w:numId w:val="3"/>
        </w:numPr>
        <w:spacing w:line="560" w:lineRule="exact"/>
        <w:ind w:left="0" w:firstLine="426" w:firstLineChars="0"/>
        <w:rPr>
          <w:rFonts w:hAnsi="仿宋"/>
          <w:sz w:val="24"/>
          <w:szCs w:val="24"/>
        </w:rPr>
      </w:pPr>
      <w:r>
        <w:rPr>
          <w:rFonts w:hint="eastAsia" w:hAnsi="仿宋"/>
          <w:sz w:val="24"/>
          <w:szCs w:val="24"/>
        </w:rPr>
        <w:t>递交比选申请文件时，比选人应当对符合比选文件规定密封和标记的比选申请文件进行签收。</w:t>
      </w:r>
    </w:p>
    <w:p>
      <w:pPr>
        <w:pStyle w:val="4"/>
        <w:rPr>
          <w:rFonts w:ascii="仿宋_GB2312"/>
          <w:sz w:val="24"/>
          <w:szCs w:val="24"/>
        </w:rPr>
      </w:pPr>
      <w:r>
        <w:rPr>
          <w:rFonts w:hint="eastAsia" w:ascii="仿宋_GB2312"/>
          <w:sz w:val="24"/>
          <w:szCs w:val="24"/>
        </w:rPr>
        <w:t>六、比选申请文件递交</w:t>
      </w:r>
    </w:p>
    <w:p>
      <w:pPr>
        <w:spacing w:line="560" w:lineRule="exact"/>
        <w:ind w:firstLine="480" w:firstLineChars="200"/>
        <w:rPr>
          <w:rFonts w:hAnsi="仿宋"/>
          <w:sz w:val="24"/>
          <w:szCs w:val="24"/>
        </w:rPr>
      </w:pPr>
      <w:r>
        <w:rPr>
          <w:rFonts w:hint="eastAsia" w:hAnsi="仿宋"/>
          <w:sz w:val="24"/>
          <w:szCs w:val="24"/>
        </w:rPr>
        <w:t>1.比选申请人应在比选文件规定的递交截止时间前，将比选申请文件按规定密封后送达开标地点。截止时间以后送达的比选申请文件将被拒绝。</w:t>
      </w:r>
    </w:p>
    <w:p>
      <w:pPr>
        <w:spacing w:line="560" w:lineRule="exact"/>
        <w:ind w:firstLine="480" w:firstLineChars="200"/>
        <w:rPr>
          <w:rFonts w:hAnsi="仿宋"/>
          <w:sz w:val="24"/>
          <w:szCs w:val="24"/>
        </w:rPr>
      </w:pPr>
      <w:r>
        <w:rPr>
          <w:rFonts w:hint="eastAsia" w:hAnsi="仿宋"/>
          <w:sz w:val="24"/>
          <w:szCs w:val="24"/>
        </w:rPr>
        <w:t>2.比选申请文件由比选申请人本单位法定代表人或其委托代理人递交。委托代理人递交比选申请文件时应携带身份证及法定代表人授权委托书。不符本条要求递交的比选申请文件将被拒绝。</w:t>
      </w:r>
    </w:p>
    <w:p>
      <w:pPr>
        <w:spacing w:line="560" w:lineRule="exact"/>
        <w:ind w:firstLine="480" w:firstLineChars="200"/>
        <w:rPr>
          <w:rFonts w:hAnsi="仿宋"/>
          <w:sz w:val="24"/>
          <w:szCs w:val="24"/>
        </w:rPr>
      </w:pPr>
      <w:r>
        <w:rPr>
          <w:rFonts w:hint="eastAsia" w:hAnsi="仿宋"/>
          <w:sz w:val="24"/>
          <w:szCs w:val="24"/>
        </w:rPr>
        <w:t>3.本次比选不接受邮寄的比选申请文件。</w:t>
      </w:r>
    </w:p>
    <w:p>
      <w:pPr>
        <w:pStyle w:val="4"/>
        <w:rPr>
          <w:rFonts w:ascii="仿宋_GB2312"/>
          <w:sz w:val="24"/>
          <w:szCs w:val="24"/>
        </w:rPr>
      </w:pPr>
      <w:r>
        <w:rPr>
          <w:rFonts w:hint="eastAsia" w:ascii="仿宋_GB2312"/>
          <w:sz w:val="24"/>
          <w:szCs w:val="24"/>
        </w:rPr>
        <w:t>七、其他事项</w:t>
      </w:r>
    </w:p>
    <w:p>
      <w:pPr>
        <w:spacing w:line="560" w:lineRule="exact"/>
        <w:ind w:firstLine="480" w:firstLineChars="200"/>
        <w:rPr>
          <w:rFonts w:hAnsi="仿宋"/>
          <w:sz w:val="24"/>
          <w:szCs w:val="24"/>
        </w:rPr>
      </w:pPr>
      <w:r>
        <w:rPr>
          <w:rFonts w:hint="eastAsia" w:hAnsi="仿宋"/>
          <w:sz w:val="24"/>
          <w:szCs w:val="24"/>
        </w:rPr>
        <w:t>1.比选申请人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60" w:lineRule="exact"/>
        <w:ind w:firstLine="480" w:firstLineChars="200"/>
        <w:rPr>
          <w:rFonts w:hAnsi="仿宋"/>
          <w:sz w:val="24"/>
          <w:szCs w:val="24"/>
        </w:rPr>
      </w:pPr>
      <w:r>
        <w:rPr>
          <w:rFonts w:hint="eastAsia" w:hAnsi="仿宋"/>
          <w:sz w:val="24"/>
          <w:szCs w:val="24"/>
        </w:rPr>
        <w:t>2.评审后，比选组织机构应在五个工作日内以书面形式向所有比选申请人通知比选结果，比选组织机构不承担对未中选比选申请人的解释责任。</w:t>
      </w:r>
    </w:p>
    <w:p>
      <w:pPr>
        <w:spacing w:line="560" w:lineRule="exact"/>
        <w:ind w:firstLine="480" w:firstLineChars="200"/>
        <w:rPr>
          <w:rFonts w:hAnsi="仿宋"/>
          <w:sz w:val="24"/>
          <w:szCs w:val="24"/>
        </w:rPr>
      </w:pPr>
      <w:r>
        <w:rPr>
          <w:rFonts w:hint="eastAsia" w:hAnsi="仿宋"/>
          <w:sz w:val="24"/>
          <w:szCs w:val="24"/>
        </w:rPr>
        <w:t>3.比选申请人在比选过程中发生的一切费用，无论是否中选，均由其自行承担。</w:t>
      </w:r>
    </w:p>
    <w:p>
      <w:pPr>
        <w:spacing w:line="560" w:lineRule="exact"/>
        <w:ind w:firstLine="480" w:firstLineChars="200"/>
        <w:rPr>
          <w:rFonts w:hAnsi="仿宋"/>
          <w:sz w:val="24"/>
          <w:szCs w:val="24"/>
        </w:rPr>
      </w:pPr>
      <w:r>
        <w:rPr>
          <w:rFonts w:hint="eastAsia" w:hAnsi="仿宋"/>
          <w:sz w:val="24"/>
          <w:szCs w:val="24"/>
        </w:rPr>
        <w:t>4.无论比选结果如何，比选申请人向比选组织机构递交的一切文件资料不予退还。</w:t>
      </w:r>
    </w:p>
    <w:p>
      <w:pPr>
        <w:spacing w:line="560" w:lineRule="exact"/>
        <w:ind w:firstLine="480" w:firstLineChars="200"/>
        <w:rPr>
          <w:rFonts w:hAnsi="仿宋"/>
          <w:sz w:val="24"/>
          <w:szCs w:val="24"/>
        </w:rPr>
      </w:pPr>
      <w:r>
        <w:rPr>
          <w:rFonts w:hint="eastAsia" w:hAnsi="仿宋"/>
          <w:sz w:val="24"/>
          <w:szCs w:val="24"/>
        </w:rPr>
        <w:t>5.任何要求对比选文件澄清的比选申请人，均应以书面形式(包括电子邮件)通知比选组织机构。比选组织机构将视情况确定采用适当方式予以澄清或以书面形式予以答复，并在其认为必要时，将不标明查询来源的书面答复给每个比选申请人。</w:t>
      </w:r>
    </w:p>
    <w:p>
      <w:pPr>
        <w:spacing w:line="560" w:lineRule="exact"/>
        <w:ind w:firstLine="480" w:firstLineChars="200"/>
        <w:rPr>
          <w:rFonts w:hAnsi="仿宋"/>
          <w:sz w:val="24"/>
          <w:szCs w:val="24"/>
        </w:rPr>
      </w:pPr>
      <w:r>
        <w:rPr>
          <w:rFonts w:hint="eastAsia" w:hAnsi="仿宋"/>
          <w:sz w:val="24"/>
          <w:szCs w:val="24"/>
        </w:rPr>
        <w:t>6.在比选文件规定比选申请文件递交截止日期前2天，无论出于何种原因，比选组织机构可主动地或在解答比选申请人要求澄清的问题时对比选文件进行修改。</w:t>
      </w:r>
    </w:p>
    <w:p>
      <w:pPr>
        <w:spacing w:line="560" w:lineRule="exact"/>
        <w:ind w:firstLine="480" w:firstLineChars="200"/>
        <w:rPr>
          <w:rFonts w:hAnsi="仿宋"/>
          <w:sz w:val="24"/>
          <w:szCs w:val="24"/>
        </w:rPr>
      </w:pPr>
      <w:r>
        <w:rPr>
          <w:rFonts w:hint="eastAsia" w:hAnsi="仿宋"/>
          <w:sz w:val="24"/>
          <w:szCs w:val="24"/>
        </w:rPr>
        <w:t>7.比选文件的修改将以</w:t>
      </w:r>
      <w:r>
        <w:rPr>
          <w:rFonts w:hint="eastAsia" w:hAnsi="仿宋"/>
          <w:sz w:val="24"/>
          <w:szCs w:val="24"/>
          <w:lang w:val="en-US"/>
        </w:rPr>
        <w:t>网上补遗</w:t>
      </w:r>
      <w:r>
        <w:rPr>
          <w:rFonts w:hint="eastAsia" w:hAnsi="仿宋"/>
          <w:sz w:val="24"/>
          <w:szCs w:val="24"/>
        </w:rPr>
        <w:t>通知所有比选申请人，为使比选申请人在准备比选申请文件时，有充分的时间进行研究和修改，比选组织可自行决定，酌情推迟比选申请文件递交截止日期，并以</w:t>
      </w:r>
      <w:r>
        <w:rPr>
          <w:rFonts w:hint="eastAsia" w:hAnsi="仿宋"/>
          <w:sz w:val="24"/>
          <w:szCs w:val="24"/>
          <w:lang w:val="en-US"/>
        </w:rPr>
        <w:t>网上补遗通知</w:t>
      </w:r>
      <w:r>
        <w:rPr>
          <w:rFonts w:hint="eastAsia" w:hAnsi="仿宋"/>
          <w:sz w:val="24"/>
          <w:szCs w:val="24"/>
        </w:rPr>
        <w:t>所有比选申请人。</w:t>
      </w:r>
    </w:p>
    <w:p>
      <w:pPr>
        <w:spacing w:line="560" w:lineRule="exact"/>
        <w:ind w:firstLine="480" w:firstLineChars="200"/>
        <w:rPr>
          <w:rFonts w:hAnsi="仿宋"/>
          <w:sz w:val="24"/>
          <w:szCs w:val="24"/>
        </w:rPr>
      </w:pPr>
      <w:r>
        <w:rPr>
          <w:rFonts w:hint="eastAsia" w:hAnsi="仿宋"/>
          <w:sz w:val="24"/>
          <w:szCs w:val="24"/>
        </w:rPr>
        <w:t>8.比选文件的修改书将构成比选文件的一部分，对参与双方都具有约束力。</w:t>
      </w:r>
    </w:p>
    <w:p>
      <w:pPr>
        <w:spacing w:line="560" w:lineRule="exact"/>
        <w:ind w:firstLine="480" w:firstLineChars="200"/>
        <w:rPr>
          <w:rFonts w:hAnsi="仿宋"/>
          <w:sz w:val="24"/>
          <w:szCs w:val="24"/>
        </w:rPr>
      </w:pPr>
      <w:r>
        <w:rPr>
          <w:rFonts w:hint="eastAsia" w:hAnsi="仿宋"/>
          <w:sz w:val="24"/>
          <w:szCs w:val="24"/>
        </w:rPr>
        <w:t>9.比选申请人应认真阅读比选文件中所有的事项、格式条款和规范要求等。比选申请人没有对比选文件全面做出实质性响应是比选申请人的风险。比选组织机构有权拒绝没有对比选文件要求做出实质性响应的比选申请文件。</w:t>
      </w:r>
      <w:bookmarkStart w:id="10" w:name="_Toc32273_WPSOffice_Level1"/>
      <w:bookmarkStart w:id="11" w:name="_Toc9304_WPSOffice_Level1"/>
    </w:p>
    <w:p>
      <w:pPr>
        <w:spacing w:line="560" w:lineRule="exact"/>
        <w:ind w:firstLine="480" w:firstLineChars="200"/>
        <w:rPr>
          <w:rFonts w:hAnsi="仿宋"/>
          <w:bCs/>
          <w:color w:val="000000"/>
          <w:sz w:val="24"/>
          <w:szCs w:val="24"/>
        </w:rPr>
      </w:pPr>
      <w:r>
        <w:rPr>
          <w:rFonts w:hint="eastAsia" w:hAnsi="仿宋"/>
          <w:sz w:val="24"/>
          <w:szCs w:val="24"/>
          <w:lang w:val="en-US"/>
        </w:rPr>
        <w:t>10.比选有效期：</w:t>
      </w:r>
      <w:r>
        <w:rPr>
          <w:rFonts w:hint="eastAsia" w:hAnsi="仿宋"/>
          <w:sz w:val="24"/>
          <w:szCs w:val="24"/>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pPr>
        <w:spacing w:line="560" w:lineRule="exact"/>
        <w:rPr>
          <w:rFonts w:hAnsi="仿宋"/>
          <w:bCs/>
          <w:color w:val="000000"/>
          <w:sz w:val="28"/>
          <w:szCs w:val="28"/>
        </w:rPr>
        <w:sectPr>
          <w:pgSz w:w="11906" w:h="16838"/>
          <w:pgMar w:top="1928" w:right="1531" w:bottom="1928" w:left="1531" w:header="851" w:footer="992" w:gutter="0"/>
          <w:cols w:space="720" w:num="1"/>
          <w:docGrid w:type="lines" w:linePitch="317" w:charSpace="0"/>
        </w:sectPr>
      </w:pPr>
    </w:p>
    <w:p>
      <w:pPr>
        <w:pStyle w:val="3"/>
        <w:rPr>
          <w:rFonts w:ascii="仿宋_GB2312"/>
        </w:rPr>
      </w:pPr>
      <w:bookmarkStart w:id="12" w:name="_Toc127778962"/>
      <w:r>
        <w:rPr>
          <w:rFonts w:hint="eastAsia" w:ascii="仿宋_GB2312"/>
        </w:rPr>
        <w:t xml:space="preserve">第三章  </w:t>
      </w:r>
      <w:bookmarkEnd w:id="10"/>
      <w:bookmarkEnd w:id="11"/>
      <w:r>
        <w:rPr>
          <w:rFonts w:hint="eastAsia" w:ascii="仿宋_GB2312"/>
        </w:rPr>
        <w:t>比选项目商务、服务、技术及其它要求</w:t>
      </w:r>
      <w:bookmarkEnd w:id="12"/>
    </w:p>
    <w:p>
      <w:pPr>
        <w:pStyle w:val="4"/>
        <w:rPr>
          <w:rFonts w:ascii="仿宋_GB2312"/>
          <w:sz w:val="24"/>
          <w:szCs w:val="24"/>
          <w:lang w:val="en-US" w:bidi="ar-SA"/>
        </w:rPr>
      </w:pPr>
      <w:r>
        <w:rPr>
          <w:rFonts w:hint="eastAsia" w:ascii="仿宋_GB2312"/>
          <w:sz w:val="24"/>
          <w:szCs w:val="24"/>
          <w:lang w:val="en-US" w:bidi="ar-SA"/>
        </w:rPr>
        <w:t>一、工程概况</w:t>
      </w:r>
    </w:p>
    <w:p>
      <w:pPr>
        <w:autoSpaceDE/>
        <w:autoSpaceDN/>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渠县蜀物致远物流发展有限公司是四川蜀道物流集团有限公司全资子公司，省属国有企业，成立于2020年10月14日，注册资金5000万元，注册地址为四川省达州市渠县天星镇街道办滨江社区怡康路68号。建设场地位于四川省达州市渠县渠北镇双桥村四组，渠县黄花大道西侧，距南大梁高速公路渠县收费站西南侧约100m，交通十分便利，有独特的区位优势。</w:t>
      </w:r>
    </w:p>
    <w:p>
      <w:pPr>
        <w:spacing w:line="360" w:lineRule="auto"/>
        <w:ind w:firstLine="480" w:firstLineChars="200"/>
        <w:rPr>
          <w:rFonts w:hAnsi="仿宋"/>
          <w:sz w:val="24"/>
          <w:szCs w:val="24"/>
        </w:rPr>
      </w:pPr>
      <w:r>
        <w:rPr>
          <w:rFonts w:hint="eastAsia" w:hAnsi="Times New Roman" w:cs="Times New Roman"/>
          <w:kern w:val="2"/>
          <w:sz w:val="24"/>
          <w:szCs w:val="24"/>
          <w:lang w:val="en-US" w:bidi="ar-SA"/>
        </w:rPr>
        <w:t>项目总投资约</w:t>
      </w:r>
      <w:r>
        <w:rPr>
          <w:rFonts w:hAnsi="Times New Roman" w:cs="Times New Roman"/>
          <w:kern w:val="2"/>
          <w:sz w:val="24"/>
          <w:szCs w:val="24"/>
          <w:lang w:val="en-US" w:bidi="ar-SA"/>
        </w:rPr>
        <w:t>3.29亿元，其中建安费用2.44亿元，项目总建设用地约203亩，主要建筑物建筑面积58769.87㎡，项目主要业态包括集运分拨一层15166.31㎡、智联云仓一层11566.62㎡、冷链加工一层15777.43㎡、综合楼五层5429.22㎡、配套商业二层8471.82㎡、展销中心二层873.43㎡、加油加气站站房二层393.76㎡、加油加气站罩棚一层528㎡、设备用房一层447.6㎡、门卫一层92.12㎡等，项目建设均无地下室，服务范围以川东北为中心，面向全国，构建“一核一副四组团”的空间。</w:t>
      </w:r>
    </w:p>
    <w:tbl>
      <w:tblPr>
        <w:tblStyle w:val="17"/>
        <w:tblW w:w="5000" w:type="pct"/>
        <w:tblInd w:w="0" w:type="dxa"/>
        <w:tblLayout w:type="autofit"/>
        <w:tblCellMar>
          <w:top w:w="0" w:type="dxa"/>
          <w:left w:w="108" w:type="dxa"/>
          <w:bottom w:w="0" w:type="dxa"/>
          <w:right w:w="108" w:type="dxa"/>
        </w:tblCellMar>
      </w:tblPr>
      <w:tblGrid>
        <w:gridCol w:w="2660"/>
        <w:gridCol w:w="1276"/>
        <w:gridCol w:w="1984"/>
        <w:gridCol w:w="1984"/>
        <w:gridCol w:w="1156"/>
      </w:tblGrid>
      <w:tr>
        <w:tblPrEx>
          <w:tblCellMar>
            <w:top w:w="0" w:type="dxa"/>
            <w:left w:w="108" w:type="dxa"/>
            <w:bottom w:w="0" w:type="dxa"/>
            <w:right w:w="108" w:type="dxa"/>
          </w:tblCellMar>
        </w:tblPrEx>
        <w:trPr>
          <w:trHeight w:val="324" w:hRule="atLeast"/>
        </w:trPr>
        <w:tc>
          <w:tcPr>
            <w:tcW w:w="5000" w:type="pct"/>
            <w:gridSpan w:val="5"/>
            <w:tcBorders>
              <w:top w:val="nil"/>
              <w:left w:val="nil"/>
              <w:bottom w:val="single" w:color="000000" w:sz="8" w:space="0"/>
              <w:right w:val="nil"/>
            </w:tcBorders>
            <w:shd w:val="clear" w:color="auto" w:fill="auto"/>
            <w:vAlign w:val="center"/>
          </w:tcPr>
          <w:p>
            <w:pPr>
              <w:widowControl/>
              <w:autoSpaceDE/>
              <w:autoSpaceDN/>
              <w:spacing w:line="360" w:lineRule="auto"/>
              <w:jc w:val="center"/>
              <w:rPr>
                <w:rFonts w:hAnsi="宋体" w:cs="宋体"/>
                <w:color w:val="000000"/>
                <w:sz w:val="24"/>
                <w:szCs w:val="24"/>
                <w:lang w:val="en-US" w:bidi="ar-SA"/>
              </w:rPr>
            </w:pPr>
            <w:r>
              <w:rPr>
                <w:rFonts w:hint="eastAsia" w:hAnsi="宋体" w:cs="宋体"/>
                <w:color w:val="000000"/>
                <w:sz w:val="24"/>
                <w:szCs w:val="24"/>
                <w:lang w:val="en-US" w:bidi="ar-SA"/>
              </w:rPr>
              <w:t>渠县智慧公路物流港项目</w:t>
            </w:r>
          </w:p>
        </w:tc>
      </w:tr>
      <w:tr>
        <w:tblPrEx>
          <w:tblCellMar>
            <w:top w:w="0" w:type="dxa"/>
            <w:left w:w="108" w:type="dxa"/>
            <w:bottom w:w="0" w:type="dxa"/>
            <w:right w:w="108" w:type="dxa"/>
          </w:tblCellMar>
        </w:tblPrEx>
        <w:trPr>
          <w:trHeight w:val="300"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rFonts w:hAnsi="宋体" w:cs="宋体"/>
                <w:color w:val="000000"/>
                <w:sz w:val="24"/>
                <w:szCs w:val="24"/>
                <w:lang w:val="en-US" w:bidi="ar-SA"/>
              </w:rPr>
            </w:pPr>
            <w:r>
              <w:rPr>
                <w:rFonts w:hint="eastAsia" w:hAnsi="宋体" w:cs="宋体"/>
                <w:color w:val="000000"/>
                <w:sz w:val="24"/>
                <w:szCs w:val="24"/>
                <w:lang w:val="en-US" w:bidi="ar-SA"/>
              </w:rPr>
              <w:t>项目名称</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hAnsi="宋体" w:cs="宋体"/>
                <w:color w:val="000000"/>
                <w:sz w:val="24"/>
                <w:szCs w:val="24"/>
                <w:lang w:val="en-US" w:bidi="ar-SA"/>
              </w:rPr>
            </w:pPr>
            <w:r>
              <w:rPr>
                <w:rFonts w:hint="eastAsia" w:hAnsi="宋体" w:cs="宋体"/>
                <w:color w:val="000000"/>
                <w:sz w:val="24"/>
                <w:szCs w:val="24"/>
                <w:lang w:val="en-US" w:bidi="ar-SA"/>
              </w:rPr>
              <w:t>层数</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hAnsi="宋体" w:cs="宋体"/>
                <w:color w:val="000000"/>
                <w:sz w:val="24"/>
                <w:szCs w:val="24"/>
                <w:lang w:val="en-US" w:bidi="ar-SA"/>
              </w:rPr>
            </w:pPr>
            <w:r>
              <w:rPr>
                <w:rFonts w:hint="eastAsia" w:hAnsi="宋体" w:cs="宋体"/>
                <w:color w:val="000000"/>
                <w:sz w:val="24"/>
                <w:szCs w:val="24"/>
                <w:lang w:val="en-US" w:bidi="ar-SA"/>
              </w:rPr>
              <w:t>建筑面积</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hAnsi="宋体" w:cs="宋体"/>
                <w:color w:val="000000"/>
                <w:sz w:val="24"/>
                <w:szCs w:val="24"/>
                <w:lang w:val="en-US" w:bidi="ar-SA"/>
              </w:rPr>
            </w:pPr>
            <w:r>
              <w:rPr>
                <w:rFonts w:hint="eastAsia" w:hAnsi="宋体" w:cs="宋体"/>
                <w:color w:val="000000"/>
                <w:sz w:val="24"/>
                <w:szCs w:val="24"/>
                <w:lang w:val="en-US" w:bidi="ar-SA"/>
              </w:rPr>
              <w:t>投资金额（万元）</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　</w:t>
            </w:r>
          </w:p>
        </w:tc>
      </w:tr>
      <w:tr>
        <w:tblPrEx>
          <w:tblCellMar>
            <w:top w:w="0" w:type="dxa"/>
            <w:left w:w="108" w:type="dxa"/>
            <w:bottom w:w="0" w:type="dxa"/>
            <w:right w:w="108" w:type="dxa"/>
          </w:tblCellMar>
        </w:tblPrEx>
        <w:trPr>
          <w:trHeight w:val="492"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1号建筑(集运分拨)</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15166.31</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2746</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　</w:t>
            </w:r>
          </w:p>
        </w:tc>
      </w:tr>
      <w:tr>
        <w:tblPrEx>
          <w:tblCellMar>
            <w:top w:w="0" w:type="dxa"/>
            <w:left w:w="108" w:type="dxa"/>
            <w:bottom w:w="0" w:type="dxa"/>
            <w:right w:w="108" w:type="dxa"/>
          </w:tblCellMar>
        </w:tblPrEx>
        <w:trPr>
          <w:trHeight w:val="492"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2#建筑（智联云仓）</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11566.62</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2117</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　</w:t>
            </w:r>
          </w:p>
        </w:tc>
      </w:tr>
      <w:tr>
        <w:tblPrEx>
          <w:tblCellMar>
            <w:top w:w="0" w:type="dxa"/>
            <w:left w:w="108" w:type="dxa"/>
            <w:bottom w:w="0" w:type="dxa"/>
            <w:right w:w="108" w:type="dxa"/>
          </w:tblCellMar>
        </w:tblPrEx>
        <w:trPr>
          <w:trHeight w:val="492"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3#冷库</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15777.43</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8173</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含冷冻设备</w:t>
            </w:r>
          </w:p>
        </w:tc>
      </w:tr>
      <w:tr>
        <w:tblPrEx>
          <w:tblCellMar>
            <w:top w:w="0" w:type="dxa"/>
            <w:left w:w="108" w:type="dxa"/>
            <w:bottom w:w="0" w:type="dxa"/>
            <w:right w:w="108" w:type="dxa"/>
          </w:tblCellMar>
        </w:tblPrEx>
        <w:trPr>
          <w:trHeight w:val="300"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4#、5#、6#楼</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5</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14774.47</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4427</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　</w:t>
            </w:r>
          </w:p>
        </w:tc>
      </w:tr>
      <w:tr>
        <w:tblPrEx>
          <w:tblCellMar>
            <w:top w:w="0" w:type="dxa"/>
            <w:left w:w="108" w:type="dxa"/>
            <w:bottom w:w="0" w:type="dxa"/>
            <w:right w:w="108" w:type="dxa"/>
          </w:tblCellMar>
        </w:tblPrEx>
        <w:trPr>
          <w:trHeight w:val="732"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7#设备用房、9#门卫室、10#垃圾房等</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1</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58769.87</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616</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　</w:t>
            </w:r>
          </w:p>
        </w:tc>
      </w:tr>
      <w:tr>
        <w:tblPrEx>
          <w:tblCellMar>
            <w:top w:w="0" w:type="dxa"/>
            <w:left w:w="108" w:type="dxa"/>
            <w:bottom w:w="0" w:type="dxa"/>
            <w:right w:w="108" w:type="dxa"/>
          </w:tblCellMar>
        </w:tblPrEx>
        <w:trPr>
          <w:trHeight w:val="300"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8#加油站</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2</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921.76</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860</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　</w:t>
            </w:r>
          </w:p>
        </w:tc>
      </w:tr>
      <w:tr>
        <w:tblPrEx>
          <w:tblCellMar>
            <w:top w:w="0" w:type="dxa"/>
            <w:left w:w="108" w:type="dxa"/>
            <w:bottom w:w="0" w:type="dxa"/>
            <w:right w:w="108" w:type="dxa"/>
          </w:tblCellMar>
        </w:tblPrEx>
        <w:trPr>
          <w:trHeight w:val="300" w:hRule="atLeast"/>
        </w:trPr>
        <w:tc>
          <w:tcPr>
            <w:tcW w:w="1468"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总平工程</w:t>
            </w:r>
          </w:p>
        </w:tc>
        <w:tc>
          <w:tcPr>
            <w:tcW w:w="704"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58769.87</w:t>
            </w:r>
          </w:p>
        </w:tc>
        <w:tc>
          <w:tcPr>
            <w:tcW w:w="1095"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5461</w:t>
            </w:r>
          </w:p>
        </w:tc>
        <w:tc>
          <w:tcPr>
            <w:tcW w:w="63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　</w:t>
            </w:r>
          </w:p>
        </w:tc>
      </w:tr>
    </w:tbl>
    <w:p>
      <w:pPr>
        <w:rPr>
          <w:sz w:val="24"/>
          <w:szCs w:val="24"/>
          <w:lang w:val="en-US" w:bidi="ar-SA"/>
        </w:rPr>
      </w:pPr>
    </w:p>
    <w:p>
      <w:pPr>
        <w:pStyle w:val="2"/>
        <w:rPr>
          <w:lang w:val="en-US"/>
        </w:rPr>
      </w:pPr>
    </w:p>
    <w:p>
      <w:pPr>
        <w:pStyle w:val="4"/>
        <w:rPr>
          <w:rFonts w:ascii="仿宋_GB2312"/>
          <w:sz w:val="24"/>
          <w:szCs w:val="24"/>
          <w:lang w:val="en-US" w:bidi="ar-SA"/>
        </w:rPr>
        <w:sectPr>
          <w:pgSz w:w="11906" w:h="16838"/>
          <w:pgMar w:top="1928" w:right="1531" w:bottom="1928" w:left="1531" w:header="851" w:footer="992" w:gutter="0"/>
          <w:cols w:space="720" w:num="1"/>
          <w:docGrid w:type="lines" w:linePitch="317" w:charSpace="0"/>
        </w:sectPr>
      </w:pPr>
    </w:p>
    <w:p>
      <w:pPr>
        <w:pStyle w:val="4"/>
        <w:rPr>
          <w:rFonts w:ascii="仿宋_GB2312"/>
          <w:sz w:val="24"/>
          <w:szCs w:val="24"/>
          <w:lang w:val="en-US" w:bidi="ar-SA"/>
        </w:rPr>
      </w:pPr>
      <w:r>
        <w:rPr>
          <w:rFonts w:hint="eastAsia" w:ascii="仿宋_GB2312"/>
          <w:sz w:val="24"/>
          <w:szCs w:val="24"/>
          <w:lang w:val="en-US" w:bidi="ar-SA"/>
        </w:rPr>
        <w:t>二、团队要求</w:t>
      </w:r>
    </w:p>
    <w:p>
      <w:pPr>
        <w:rPr>
          <w:sz w:val="24"/>
          <w:szCs w:val="24"/>
          <w:lang w:val="en-US" w:bidi="ar-SA"/>
        </w:rPr>
      </w:pPr>
      <w:r>
        <w:rPr>
          <w:rFonts w:hint="eastAsia" w:hAnsi="仿宋"/>
          <w:sz w:val="24"/>
          <w:szCs w:val="24"/>
        </w:rPr>
        <w:t>标段1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992"/>
        <w:gridCol w:w="1985"/>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spacing w:line="560" w:lineRule="exact"/>
              <w:rPr>
                <w:rFonts w:hAnsi="仿宋"/>
                <w:sz w:val="24"/>
                <w:szCs w:val="24"/>
              </w:rPr>
            </w:pPr>
            <w:r>
              <w:rPr>
                <w:rFonts w:hint="eastAsia" w:hAnsi="仿宋"/>
                <w:sz w:val="24"/>
                <w:szCs w:val="24"/>
              </w:rPr>
              <w:t>人员类型</w:t>
            </w:r>
          </w:p>
        </w:tc>
        <w:tc>
          <w:tcPr>
            <w:tcW w:w="992" w:type="dxa"/>
            <w:vAlign w:val="center"/>
          </w:tcPr>
          <w:p>
            <w:pPr>
              <w:spacing w:line="560" w:lineRule="exact"/>
              <w:rPr>
                <w:rFonts w:hAnsi="仿宋"/>
                <w:sz w:val="24"/>
                <w:szCs w:val="24"/>
              </w:rPr>
            </w:pPr>
            <w:r>
              <w:rPr>
                <w:rFonts w:hint="eastAsia" w:hAnsi="仿宋"/>
                <w:sz w:val="24"/>
                <w:szCs w:val="24"/>
              </w:rPr>
              <w:t>数量</w:t>
            </w:r>
          </w:p>
        </w:tc>
        <w:tc>
          <w:tcPr>
            <w:tcW w:w="1985" w:type="dxa"/>
            <w:vAlign w:val="center"/>
          </w:tcPr>
          <w:p>
            <w:pPr>
              <w:spacing w:line="560" w:lineRule="exact"/>
              <w:rPr>
                <w:rFonts w:hAnsi="仿宋"/>
                <w:sz w:val="24"/>
                <w:szCs w:val="24"/>
              </w:rPr>
            </w:pPr>
            <w:r>
              <w:rPr>
                <w:rFonts w:hint="eastAsia" w:hAnsi="仿宋"/>
                <w:sz w:val="24"/>
                <w:szCs w:val="24"/>
              </w:rPr>
              <w:t>要求</w:t>
            </w:r>
          </w:p>
        </w:tc>
        <w:tc>
          <w:tcPr>
            <w:tcW w:w="4699" w:type="dxa"/>
            <w:vAlign w:val="center"/>
          </w:tcPr>
          <w:p>
            <w:pPr>
              <w:spacing w:line="560" w:lineRule="exact"/>
              <w:rPr>
                <w:rFonts w:hAnsi="仿宋"/>
                <w:sz w:val="24"/>
                <w:szCs w:val="24"/>
              </w:rPr>
            </w:pPr>
            <w:r>
              <w:rPr>
                <w:rFonts w:hint="eastAsia" w:hAnsi="仿宋"/>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60" w:lineRule="exact"/>
              <w:rPr>
                <w:rFonts w:hAnsi="仿宋"/>
                <w:sz w:val="24"/>
                <w:szCs w:val="24"/>
              </w:rPr>
            </w:pPr>
            <w:r>
              <w:rPr>
                <w:rFonts w:hint="eastAsia" w:hAnsi="仿宋"/>
                <w:sz w:val="24"/>
                <w:szCs w:val="24"/>
              </w:rPr>
              <w:t>项目负责人</w:t>
            </w:r>
          </w:p>
        </w:tc>
        <w:tc>
          <w:tcPr>
            <w:tcW w:w="992" w:type="dxa"/>
            <w:vAlign w:val="center"/>
          </w:tcPr>
          <w:p>
            <w:pPr>
              <w:spacing w:line="560" w:lineRule="exact"/>
              <w:rPr>
                <w:rFonts w:hAnsi="仿宋"/>
                <w:sz w:val="24"/>
                <w:szCs w:val="24"/>
              </w:rPr>
            </w:pPr>
            <w:r>
              <w:rPr>
                <w:rFonts w:hint="eastAsia" w:hAnsi="仿宋"/>
                <w:sz w:val="24"/>
                <w:szCs w:val="24"/>
              </w:rPr>
              <w:t>1名</w:t>
            </w:r>
          </w:p>
        </w:tc>
        <w:tc>
          <w:tcPr>
            <w:tcW w:w="1985" w:type="dxa"/>
            <w:vAlign w:val="center"/>
          </w:tcPr>
          <w:p>
            <w:pPr>
              <w:spacing w:line="560" w:lineRule="exact"/>
              <w:rPr>
                <w:rFonts w:hAnsi="Times New Roman" w:cs="Times New Roman"/>
                <w:kern w:val="2"/>
                <w:sz w:val="24"/>
                <w:szCs w:val="24"/>
                <w:lang w:val="en-US" w:bidi="ar-SA"/>
              </w:rPr>
            </w:pPr>
            <w:r>
              <w:rPr>
                <w:rFonts w:hint="eastAsia" w:hAnsi="Times New Roman" w:cs="Times New Roman"/>
                <w:kern w:val="2"/>
                <w:sz w:val="24"/>
                <w:szCs w:val="24"/>
                <w:lang w:val="en-US" w:bidi="ar-SA"/>
              </w:rPr>
              <w:t>详见第一章比选公告</w:t>
            </w:r>
          </w:p>
        </w:tc>
        <w:tc>
          <w:tcPr>
            <w:tcW w:w="4699" w:type="dxa"/>
          </w:tcPr>
          <w:p>
            <w:pPr>
              <w:spacing w:line="560" w:lineRule="exact"/>
              <w:rPr>
                <w:rFonts w:hAnsi="Times New Roman" w:cs="Times New Roman"/>
                <w:kern w:val="2"/>
                <w:sz w:val="24"/>
                <w:szCs w:val="24"/>
                <w:lang w:val="en-US" w:bidi="ar-SA"/>
              </w:rPr>
            </w:pPr>
            <w:r>
              <w:rPr>
                <w:rFonts w:hint="eastAsia" w:hAnsi="Times New Roman" w:cs="Times New Roman"/>
                <w:kern w:val="2"/>
                <w:sz w:val="24"/>
                <w:szCs w:val="24"/>
                <w:lang w:val="en-US" w:bidi="ar-SA"/>
              </w:rPr>
              <w:t>提供</w:t>
            </w:r>
            <w:r>
              <w:rPr>
                <w:rFonts w:hint="eastAsia" w:hAnsi="宋体" w:cs="宋体"/>
                <w:kern w:val="2"/>
                <w:sz w:val="24"/>
                <w:szCs w:val="24"/>
                <w:lang w:val="en-US" w:bidi="ar-SA"/>
              </w:rPr>
              <w:t>①</w:t>
            </w:r>
            <w:r>
              <w:rPr>
                <w:rFonts w:hint="eastAsia" w:hAnsi="Times New Roman" w:cs="Times New Roman"/>
                <w:kern w:val="2"/>
                <w:sz w:val="24"/>
                <w:szCs w:val="24"/>
                <w:lang w:val="en-US" w:bidi="ar-SA"/>
              </w:rPr>
              <w:t>注册执业证书电子证书或清晰扫描件（注册执业单位为本比选申请单位）；②提供参选截止期日起上月或上上月前连续 3 个月在该比选申请单位的社保部门出具的养老保险证明材料。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60" w:lineRule="exact"/>
              <w:rPr>
                <w:rFonts w:hAnsi="仿宋"/>
                <w:sz w:val="24"/>
                <w:szCs w:val="24"/>
              </w:rPr>
            </w:pPr>
            <w:r>
              <w:rPr>
                <w:rFonts w:hint="eastAsia" w:hAnsi="仿宋"/>
                <w:sz w:val="24"/>
                <w:szCs w:val="24"/>
              </w:rPr>
              <w:t>其他</w:t>
            </w:r>
          </w:p>
        </w:tc>
        <w:tc>
          <w:tcPr>
            <w:tcW w:w="992" w:type="dxa"/>
            <w:vAlign w:val="center"/>
          </w:tcPr>
          <w:p>
            <w:pPr>
              <w:spacing w:line="560" w:lineRule="exact"/>
              <w:rPr>
                <w:rFonts w:hAnsi="仿宋"/>
                <w:sz w:val="24"/>
                <w:szCs w:val="24"/>
              </w:rPr>
            </w:pPr>
            <w:r>
              <w:rPr>
                <w:rFonts w:hint="eastAsia" w:hAnsi="仿宋"/>
                <w:sz w:val="24"/>
                <w:szCs w:val="24"/>
              </w:rPr>
              <w:t>3名</w:t>
            </w:r>
          </w:p>
        </w:tc>
        <w:tc>
          <w:tcPr>
            <w:tcW w:w="1985" w:type="dxa"/>
            <w:vAlign w:val="center"/>
          </w:tcPr>
          <w:p>
            <w:pPr>
              <w:spacing w:line="560" w:lineRule="exact"/>
              <w:rPr>
                <w:rFonts w:hAnsi="仿宋"/>
                <w:sz w:val="24"/>
                <w:szCs w:val="24"/>
              </w:rPr>
            </w:pPr>
            <w:r>
              <w:rPr>
                <w:rFonts w:hint="eastAsia" w:hAnsi="仿宋"/>
                <w:sz w:val="24"/>
                <w:szCs w:val="24"/>
              </w:rPr>
              <w:t>具备从事相关审计工作的能力</w:t>
            </w:r>
          </w:p>
        </w:tc>
        <w:tc>
          <w:tcPr>
            <w:tcW w:w="4699" w:type="dxa"/>
          </w:tcPr>
          <w:p>
            <w:pPr>
              <w:spacing w:line="560" w:lineRule="exact"/>
              <w:rPr>
                <w:rFonts w:hAnsi="仿宋"/>
                <w:sz w:val="24"/>
                <w:szCs w:val="24"/>
              </w:rPr>
            </w:pPr>
            <w:r>
              <w:rPr>
                <w:rFonts w:hint="eastAsia" w:hAnsi="Times New Roman" w:cs="Times New Roman"/>
                <w:kern w:val="2"/>
                <w:sz w:val="24"/>
                <w:szCs w:val="24"/>
                <w:lang w:val="en-US" w:bidi="ar-SA"/>
              </w:rPr>
              <w:t>提供参选截止期日起上月或上上月前连续 3 个月在该比选申请单位的社保部门出具的养老保险证明材料。</w:t>
            </w:r>
          </w:p>
        </w:tc>
      </w:tr>
    </w:tbl>
    <w:p>
      <w:pPr>
        <w:spacing w:line="560" w:lineRule="exact"/>
        <w:rPr>
          <w:rFonts w:hAnsi="仿宋"/>
          <w:sz w:val="24"/>
          <w:szCs w:val="24"/>
        </w:rPr>
      </w:pPr>
      <w:r>
        <w:rPr>
          <w:rFonts w:hint="eastAsia" w:hAnsi="仿宋"/>
          <w:sz w:val="24"/>
          <w:szCs w:val="24"/>
        </w:rPr>
        <w:t>标段2</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992"/>
        <w:gridCol w:w="1985"/>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60" w:lineRule="exact"/>
              <w:rPr>
                <w:rFonts w:hAnsi="仿宋"/>
                <w:sz w:val="24"/>
                <w:szCs w:val="24"/>
              </w:rPr>
            </w:pPr>
            <w:r>
              <w:rPr>
                <w:rFonts w:hint="eastAsia" w:hAnsi="仿宋"/>
                <w:sz w:val="24"/>
                <w:szCs w:val="24"/>
              </w:rPr>
              <w:t>人员类型</w:t>
            </w:r>
          </w:p>
        </w:tc>
        <w:tc>
          <w:tcPr>
            <w:tcW w:w="992" w:type="dxa"/>
            <w:vAlign w:val="center"/>
          </w:tcPr>
          <w:p>
            <w:pPr>
              <w:spacing w:line="560" w:lineRule="exact"/>
              <w:rPr>
                <w:rFonts w:hAnsi="仿宋"/>
                <w:sz w:val="24"/>
                <w:szCs w:val="24"/>
              </w:rPr>
            </w:pPr>
            <w:r>
              <w:rPr>
                <w:rFonts w:hint="eastAsia" w:hAnsi="仿宋"/>
                <w:sz w:val="24"/>
                <w:szCs w:val="24"/>
              </w:rPr>
              <w:t>数量</w:t>
            </w:r>
          </w:p>
        </w:tc>
        <w:tc>
          <w:tcPr>
            <w:tcW w:w="1985" w:type="dxa"/>
            <w:vAlign w:val="center"/>
          </w:tcPr>
          <w:p>
            <w:pPr>
              <w:spacing w:line="560" w:lineRule="exact"/>
              <w:rPr>
                <w:rFonts w:hAnsi="仿宋"/>
                <w:sz w:val="24"/>
                <w:szCs w:val="24"/>
              </w:rPr>
            </w:pPr>
            <w:r>
              <w:rPr>
                <w:rFonts w:hint="eastAsia" w:hAnsi="仿宋"/>
                <w:sz w:val="24"/>
                <w:szCs w:val="24"/>
              </w:rPr>
              <w:t>要求</w:t>
            </w:r>
          </w:p>
        </w:tc>
        <w:tc>
          <w:tcPr>
            <w:tcW w:w="4699" w:type="dxa"/>
            <w:vAlign w:val="center"/>
          </w:tcPr>
          <w:p>
            <w:pPr>
              <w:spacing w:line="560" w:lineRule="exact"/>
              <w:rPr>
                <w:rFonts w:hAnsi="仿宋"/>
                <w:sz w:val="24"/>
                <w:szCs w:val="24"/>
              </w:rPr>
            </w:pPr>
            <w:r>
              <w:rPr>
                <w:rFonts w:hint="eastAsia" w:hAnsi="仿宋"/>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60" w:lineRule="exact"/>
              <w:rPr>
                <w:rFonts w:hAnsi="仿宋"/>
                <w:sz w:val="24"/>
                <w:szCs w:val="24"/>
              </w:rPr>
            </w:pPr>
            <w:r>
              <w:rPr>
                <w:rFonts w:hint="eastAsia" w:hAnsi="仿宋"/>
                <w:sz w:val="24"/>
                <w:szCs w:val="24"/>
              </w:rPr>
              <w:t>项目负责人</w:t>
            </w:r>
          </w:p>
        </w:tc>
        <w:tc>
          <w:tcPr>
            <w:tcW w:w="992" w:type="dxa"/>
            <w:vAlign w:val="center"/>
          </w:tcPr>
          <w:p>
            <w:pPr>
              <w:spacing w:line="560" w:lineRule="exact"/>
              <w:rPr>
                <w:rFonts w:hAnsi="仿宋"/>
                <w:sz w:val="24"/>
                <w:szCs w:val="24"/>
              </w:rPr>
            </w:pPr>
            <w:r>
              <w:rPr>
                <w:rFonts w:hint="eastAsia" w:hAnsi="仿宋"/>
                <w:sz w:val="24"/>
                <w:szCs w:val="24"/>
              </w:rPr>
              <w:t>1名</w:t>
            </w:r>
          </w:p>
        </w:tc>
        <w:tc>
          <w:tcPr>
            <w:tcW w:w="1985" w:type="dxa"/>
            <w:vAlign w:val="center"/>
          </w:tcPr>
          <w:p>
            <w:pPr>
              <w:spacing w:line="560" w:lineRule="exact"/>
              <w:rPr>
                <w:rFonts w:hAnsi="仿宋"/>
                <w:sz w:val="24"/>
                <w:szCs w:val="24"/>
              </w:rPr>
            </w:pPr>
            <w:r>
              <w:rPr>
                <w:rFonts w:hint="eastAsia" w:hAnsi="Times New Roman" w:cs="Times New Roman"/>
                <w:kern w:val="2"/>
                <w:sz w:val="24"/>
                <w:szCs w:val="24"/>
                <w:lang w:val="en-US" w:bidi="ar-SA"/>
              </w:rPr>
              <w:t>详见第一章比选公告</w:t>
            </w:r>
          </w:p>
        </w:tc>
        <w:tc>
          <w:tcPr>
            <w:tcW w:w="4699" w:type="dxa"/>
          </w:tcPr>
          <w:p>
            <w:pPr>
              <w:spacing w:line="560" w:lineRule="exact"/>
              <w:rPr>
                <w:rFonts w:hAnsi="仿宋"/>
                <w:sz w:val="24"/>
                <w:szCs w:val="24"/>
              </w:rPr>
            </w:pPr>
            <w:r>
              <w:rPr>
                <w:rFonts w:hint="eastAsia" w:hAnsi="Times New Roman" w:cs="Times New Roman"/>
                <w:kern w:val="2"/>
                <w:sz w:val="24"/>
                <w:szCs w:val="24"/>
                <w:lang w:val="en-US" w:bidi="ar-SA"/>
              </w:rPr>
              <w:t>提供</w:t>
            </w:r>
            <w:r>
              <w:rPr>
                <w:rFonts w:hint="eastAsia" w:hAnsi="宋体" w:cs="宋体"/>
                <w:kern w:val="2"/>
                <w:sz w:val="24"/>
                <w:szCs w:val="24"/>
                <w:lang w:val="en-US" w:bidi="ar-SA"/>
              </w:rPr>
              <w:t>①</w:t>
            </w:r>
            <w:r>
              <w:rPr>
                <w:rFonts w:hint="eastAsia" w:hAnsi="Times New Roman" w:cs="Times New Roman"/>
                <w:kern w:val="2"/>
                <w:sz w:val="24"/>
                <w:szCs w:val="24"/>
                <w:lang w:val="en-US" w:bidi="ar-SA"/>
              </w:rPr>
              <w:t>注册会计师证书清晰扫描件（注册执业单位为本比选申请单位）；②提供参选截止期日起上月或上上月前连续 3 个月在该比选申请单位的社保部门出具的养老保险证明材料。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60" w:lineRule="exact"/>
              <w:rPr>
                <w:rFonts w:hAnsi="仿宋"/>
                <w:sz w:val="24"/>
                <w:szCs w:val="24"/>
              </w:rPr>
            </w:pPr>
            <w:r>
              <w:rPr>
                <w:rFonts w:hint="eastAsia" w:hAnsi="仿宋"/>
                <w:sz w:val="24"/>
                <w:szCs w:val="24"/>
              </w:rPr>
              <w:t>其他</w:t>
            </w:r>
          </w:p>
        </w:tc>
        <w:tc>
          <w:tcPr>
            <w:tcW w:w="992" w:type="dxa"/>
            <w:vAlign w:val="center"/>
          </w:tcPr>
          <w:p>
            <w:pPr>
              <w:spacing w:line="560" w:lineRule="exact"/>
              <w:rPr>
                <w:rFonts w:hAnsi="仿宋"/>
                <w:sz w:val="24"/>
                <w:szCs w:val="24"/>
              </w:rPr>
            </w:pPr>
            <w:r>
              <w:rPr>
                <w:rFonts w:hint="eastAsia" w:hAnsi="仿宋"/>
                <w:sz w:val="24"/>
                <w:szCs w:val="24"/>
              </w:rPr>
              <w:t>2名</w:t>
            </w:r>
          </w:p>
        </w:tc>
        <w:tc>
          <w:tcPr>
            <w:tcW w:w="1985" w:type="dxa"/>
            <w:vAlign w:val="center"/>
          </w:tcPr>
          <w:p>
            <w:pPr>
              <w:spacing w:line="560" w:lineRule="exact"/>
              <w:rPr>
                <w:rFonts w:hAnsi="仿宋"/>
                <w:sz w:val="24"/>
                <w:szCs w:val="24"/>
              </w:rPr>
            </w:pPr>
            <w:r>
              <w:rPr>
                <w:rFonts w:hint="eastAsia" w:hAnsi="仿宋"/>
                <w:sz w:val="24"/>
                <w:szCs w:val="24"/>
              </w:rPr>
              <w:t>具备从事相关审计工作的能力</w:t>
            </w:r>
          </w:p>
        </w:tc>
        <w:tc>
          <w:tcPr>
            <w:tcW w:w="4699" w:type="dxa"/>
          </w:tcPr>
          <w:p>
            <w:pPr>
              <w:spacing w:line="560" w:lineRule="exact"/>
              <w:rPr>
                <w:rFonts w:hAnsi="仿宋"/>
                <w:sz w:val="24"/>
                <w:szCs w:val="24"/>
              </w:rPr>
            </w:pPr>
            <w:r>
              <w:rPr>
                <w:rFonts w:hint="eastAsia" w:hAnsi="Times New Roman" w:cs="Times New Roman"/>
                <w:kern w:val="2"/>
                <w:sz w:val="24"/>
                <w:szCs w:val="24"/>
                <w:lang w:val="en-US" w:bidi="ar-SA"/>
              </w:rPr>
              <w:t>提供参选截止期日起上月或上上月前连续 3 个月在该比选申请单位的社保部门出具的养老保险证明材料。</w:t>
            </w:r>
          </w:p>
        </w:tc>
      </w:tr>
    </w:tbl>
    <w:p>
      <w:pPr>
        <w:pStyle w:val="2"/>
        <w:rPr>
          <w:rFonts w:ascii="仿宋_GB2312" w:eastAsia="仿宋_GB2312"/>
          <w:sz w:val="24"/>
          <w:szCs w:val="24"/>
        </w:rPr>
      </w:pPr>
      <w:r>
        <w:rPr>
          <w:rFonts w:hint="eastAsia" w:ascii="仿宋_GB2312" w:eastAsia="仿宋_GB2312"/>
          <w:sz w:val="24"/>
          <w:szCs w:val="24"/>
        </w:rPr>
        <w:t>说明：所有注册执业类证书要求注册执业单位为本比选申请单位。</w:t>
      </w:r>
    </w:p>
    <w:p>
      <w:pPr>
        <w:widowControl/>
        <w:rPr>
          <w:rFonts w:hAnsi="仿宋"/>
          <w:bCs/>
          <w:color w:val="000000"/>
          <w:sz w:val="28"/>
          <w:szCs w:val="28"/>
        </w:rPr>
        <w:sectPr>
          <w:pgSz w:w="11906" w:h="16838"/>
          <w:pgMar w:top="1928" w:right="1531" w:bottom="1928" w:left="1531" w:header="851" w:footer="992" w:gutter="0"/>
          <w:cols w:space="720" w:num="1"/>
          <w:docGrid w:type="lines" w:linePitch="317" w:charSpace="0"/>
        </w:sectPr>
      </w:pPr>
    </w:p>
    <w:p>
      <w:pPr>
        <w:pStyle w:val="3"/>
        <w:rPr>
          <w:rFonts w:ascii="仿宋_GB2312"/>
        </w:rPr>
      </w:pPr>
      <w:bookmarkStart w:id="13" w:name="_Toc127778963"/>
      <w:r>
        <w:rPr>
          <w:rFonts w:hint="eastAsia" w:ascii="仿宋_GB2312"/>
        </w:rPr>
        <w:t>第四章 比选办法</w:t>
      </w:r>
      <w:bookmarkEnd w:id="13"/>
    </w:p>
    <w:p>
      <w:pPr>
        <w:pStyle w:val="4"/>
        <w:rPr>
          <w:rFonts w:ascii="仿宋_GB2312"/>
          <w:sz w:val="24"/>
        </w:rPr>
      </w:pPr>
      <w:bookmarkStart w:id="14" w:name="_Toc8938_WPSOffice_Level1"/>
      <w:bookmarkStart w:id="15" w:name="_Toc23117_WPSOffice_Level1"/>
      <w:r>
        <w:rPr>
          <w:rFonts w:hint="eastAsia" w:ascii="仿宋_GB2312"/>
          <w:sz w:val="24"/>
        </w:rPr>
        <w:t>（一）比选办法前附表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886"/>
        <w:gridCol w:w="1123"/>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pct"/>
            <w:gridSpan w:val="2"/>
            <w:vAlign w:val="center"/>
          </w:tcPr>
          <w:p>
            <w:pPr>
              <w:spacing w:line="440" w:lineRule="exact"/>
              <w:rPr>
                <w:rFonts w:hAnsi="黑体" w:cs="黑体"/>
                <w:sz w:val="24"/>
                <w:szCs w:val="24"/>
              </w:rPr>
            </w:pPr>
            <w:r>
              <w:rPr>
                <w:rFonts w:hint="eastAsia" w:hAnsi="黑体" w:cs="黑体"/>
                <w:sz w:val="24"/>
                <w:szCs w:val="24"/>
              </w:rPr>
              <w:t>条款号</w:t>
            </w:r>
          </w:p>
        </w:tc>
        <w:tc>
          <w:tcPr>
            <w:tcW w:w="620" w:type="pct"/>
            <w:vAlign w:val="center"/>
          </w:tcPr>
          <w:p>
            <w:pPr>
              <w:spacing w:line="440" w:lineRule="exact"/>
              <w:rPr>
                <w:rFonts w:hAnsi="黑体" w:cs="黑体"/>
                <w:sz w:val="24"/>
                <w:szCs w:val="24"/>
              </w:rPr>
            </w:pPr>
            <w:r>
              <w:rPr>
                <w:rFonts w:hint="eastAsia" w:hAnsi="黑体" w:cs="黑体"/>
                <w:sz w:val="24"/>
                <w:szCs w:val="24"/>
              </w:rPr>
              <w:t>评审名称</w:t>
            </w:r>
          </w:p>
        </w:tc>
        <w:tc>
          <w:tcPr>
            <w:tcW w:w="3441" w:type="pct"/>
            <w:vAlign w:val="center"/>
          </w:tcPr>
          <w:p>
            <w:pPr>
              <w:spacing w:line="440" w:lineRule="exact"/>
              <w:rPr>
                <w:rFonts w:hAnsi="黑体" w:cs="黑体"/>
                <w:sz w:val="24"/>
                <w:szCs w:val="24"/>
              </w:rPr>
            </w:pPr>
            <w:r>
              <w:rPr>
                <w:rFonts w:hint="eastAsia" w:hAnsi="黑体" w:cs="黑体"/>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restart"/>
            <w:vAlign w:val="center"/>
          </w:tcPr>
          <w:p>
            <w:pPr>
              <w:spacing w:line="440" w:lineRule="exact"/>
              <w:rPr>
                <w:rFonts w:hAnsi="黑体" w:cs="黑体"/>
                <w:sz w:val="24"/>
                <w:szCs w:val="24"/>
              </w:rPr>
            </w:pPr>
            <w:r>
              <w:rPr>
                <w:rFonts w:hint="eastAsia" w:hAnsi="黑体" w:cs="黑体"/>
                <w:sz w:val="24"/>
                <w:szCs w:val="24"/>
              </w:rPr>
              <w:t>2.1</w:t>
            </w:r>
          </w:p>
        </w:tc>
        <w:tc>
          <w:tcPr>
            <w:tcW w:w="488" w:type="pct"/>
            <w:vMerge w:val="restart"/>
            <w:vAlign w:val="center"/>
          </w:tcPr>
          <w:p>
            <w:pPr>
              <w:spacing w:line="440" w:lineRule="exact"/>
              <w:rPr>
                <w:rFonts w:hAnsi="黑体" w:cs="黑体"/>
                <w:sz w:val="24"/>
                <w:szCs w:val="24"/>
              </w:rPr>
            </w:pPr>
            <w:r>
              <w:rPr>
                <w:rFonts w:hint="eastAsia" w:hAnsi="黑体" w:cs="黑体"/>
                <w:sz w:val="24"/>
                <w:szCs w:val="24"/>
              </w:rPr>
              <w:t>初步评审</w:t>
            </w:r>
          </w:p>
        </w:tc>
        <w:tc>
          <w:tcPr>
            <w:tcW w:w="620" w:type="pct"/>
            <w:vAlign w:val="center"/>
          </w:tcPr>
          <w:p>
            <w:pPr>
              <w:spacing w:line="440" w:lineRule="exact"/>
              <w:rPr>
                <w:rFonts w:hAnsi="黑体" w:cs="黑体"/>
                <w:sz w:val="24"/>
                <w:szCs w:val="24"/>
              </w:rPr>
            </w:pPr>
            <w:r>
              <w:rPr>
                <w:rFonts w:hint="eastAsia" w:hAnsi="Times New Roman" w:cs="Times New Roman"/>
                <w:kern w:val="2"/>
                <w:sz w:val="24"/>
                <w:szCs w:val="24"/>
                <w:lang w:val="en-US" w:bidi="ar-SA"/>
              </w:rPr>
              <w:t>主体要求</w:t>
            </w:r>
          </w:p>
        </w:tc>
        <w:tc>
          <w:tcPr>
            <w:tcW w:w="3441" w:type="pct"/>
            <w:vAlign w:val="center"/>
          </w:tcPr>
          <w:p>
            <w:pPr>
              <w:spacing w:line="440" w:lineRule="exact"/>
              <w:rPr>
                <w:rFonts w:hAnsi="黑体" w:cs="黑体"/>
                <w:sz w:val="24"/>
                <w:szCs w:val="24"/>
              </w:rPr>
            </w:pPr>
            <w:r>
              <w:rPr>
                <w:rFonts w:hint="eastAsia" w:hAnsi="黑体" w:cs="黑体"/>
                <w:sz w:val="24"/>
                <w:szCs w:val="24"/>
              </w:rPr>
              <w:t>标段</w:t>
            </w:r>
            <w:r>
              <w:rPr>
                <w:rFonts w:hAnsi="黑体" w:cs="黑体"/>
                <w:sz w:val="24"/>
                <w:szCs w:val="24"/>
              </w:rPr>
              <w:t>1：中国境内依法注册的法人机构或依法设立的合伙制企业，持有有效营业执照、基本账户开户许可证或基本存款帐户信息。</w:t>
            </w:r>
          </w:p>
          <w:p>
            <w:pPr>
              <w:spacing w:line="440" w:lineRule="exact"/>
              <w:rPr>
                <w:rFonts w:hAnsi="黑体" w:cs="黑体"/>
                <w:sz w:val="24"/>
                <w:szCs w:val="24"/>
              </w:rPr>
            </w:pPr>
            <w:r>
              <w:rPr>
                <w:rFonts w:hint="eastAsia" w:hAnsi="黑体" w:cs="黑体"/>
                <w:sz w:val="24"/>
                <w:szCs w:val="24"/>
              </w:rPr>
              <w:t>标段</w:t>
            </w:r>
            <w:r>
              <w:rPr>
                <w:rFonts w:hAnsi="黑体" w:cs="黑体"/>
                <w:sz w:val="24"/>
                <w:szCs w:val="24"/>
              </w:rPr>
              <w:t>2：中国境内依法注册的法人机构或依法设立的合伙制企业，持有有效营业执照、财政部门颁发的会计师事务所执业证书。</w:t>
            </w:r>
          </w:p>
          <w:p>
            <w:pPr>
              <w:spacing w:line="440" w:lineRule="exact"/>
              <w:rPr>
                <w:sz w:val="24"/>
                <w:szCs w:val="24"/>
              </w:rPr>
            </w:pPr>
            <w:r>
              <w:rPr>
                <w:rFonts w:hint="eastAsia" w:hAnsi="黑体" w:cs="黑体"/>
                <w:sz w:val="24"/>
                <w:szCs w:val="24"/>
              </w:rPr>
              <w:t>比选申请人名称与营业执照的一致，如涉及名称变更应提供</w:t>
            </w:r>
            <w:r>
              <w:rPr>
                <w:rFonts w:hint="eastAsia" w:hAnsi="宋体"/>
                <w:color w:val="000000" w:themeColor="text1"/>
                <w:sz w:val="24"/>
                <w:szCs w:val="24"/>
                <w14:textFill>
                  <w14:solidFill>
                    <w14:schemeClr w14:val="tx1"/>
                  </w14:solidFill>
                </w14:textFill>
              </w:rPr>
              <w:t>批准名称变更的行政单位的证明材料。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业绩要求</w:t>
            </w:r>
          </w:p>
        </w:tc>
        <w:tc>
          <w:tcPr>
            <w:tcW w:w="3441" w:type="pct"/>
            <w:vAlign w:val="center"/>
          </w:tcPr>
          <w:p>
            <w:pPr>
              <w:spacing w:line="440" w:lineRule="exact"/>
              <w:rPr>
                <w:rFonts w:hAnsi="黑体" w:cs="黑体"/>
                <w:sz w:val="24"/>
                <w:szCs w:val="24"/>
              </w:rPr>
            </w:pPr>
            <w:r>
              <w:rPr>
                <w:rFonts w:hint="eastAsia" w:hAnsi="黑体" w:cs="黑体"/>
                <w:sz w:val="24"/>
                <w:szCs w:val="24"/>
              </w:rPr>
              <w:t>标段</w:t>
            </w:r>
            <w:r>
              <w:rPr>
                <w:rFonts w:hAnsi="黑体" w:cs="黑体"/>
                <w:sz w:val="24"/>
                <w:szCs w:val="24"/>
              </w:rPr>
              <w:t>1：近三年（2020年1月1日起，以签订合同时间为准）至少独立承担过一个类似项目（</w:t>
            </w:r>
            <w:r>
              <w:rPr>
                <w:rFonts w:hint="eastAsia" w:hAnsi="黑体" w:cs="黑体"/>
                <w:sz w:val="24"/>
                <w:szCs w:val="24"/>
              </w:rPr>
              <w:t>物流园区建设类或房建类</w:t>
            </w:r>
            <w:r>
              <w:rPr>
                <w:rFonts w:hAnsi="黑体" w:cs="黑体"/>
                <w:sz w:val="24"/>
                <w:szCs w:val="24"/>
              </w:rPr>
              <w:t>）审计范围内投资金额或送审金额不低于人民币2亿元（含）的竣工工程结算审计（核）。</w:t>
            </w:r>
          </w:p>
          <w:p>
            <w:pPr>
              <w:spacing w:line="440" w:lineRule="exact"/>
              <w:rPr>
                <w:rFonts w:hAnsi="黑体" w:cs="黑体"/>
                <w:sz w:val="24"/>
                <w:szCs w:val="24"/>
              </w:rPr>
            </w:pPr>
            <w:r>
              <w:rPr>
                <w:rFonts w:hint="eastAsia" w:hAnsi="黑体" w:cs="黑体"/>
                <w:sz w:val="24"/>
                <w:szCs w:val="24"/>
              </w:rPr>
              <w:t>标段</w:t>
            </w:r>
            <w:r>
              <w:rPr>
                <w:rFonts w:hAnsi="黑体" w:cs="黑体"/>
                <w:sz w:val="24"/>
                <w:szCs w:val="24"/>
              </w:rPr>
              <w:t>2：近三年（2020年1月1日起，以签订合同时间为准）至少独立承担过一个类似项目（</w:t>
            </w:r>
            <w:r>
              <w:rPr>
                <w:rFonts w:hint="eastAsia" w:hAnsi="黑体" w:cs="黑体"/>
                <w:sz w:val="24"/>
                <w:szCs w:val="24"/>
              </w:rPr>
              <w:t>物流园区建设类或房建类</w:t>
            </w:r>
            <w:r>
              <w:rPr>
                <w:rFonts w:hAnsi="黑体" w:cs="黑体"/>
                <w:sz w:val="24"/>
                <w:szCs w:val="24"/>
              </w:rPr>
              <w:t>）审计范围内投资金额或送审金额不低于人民币</w:t>
            </w:r>
            <w:r>
              <w:rPr>
                <w:rFonts w:hint="eastAsia" w:hAnsi="黑体" w:cs="黑体"/>
                <w:sz w:val="24"/>
                <w:szCs w:val="24"/>
                <w:lang w:val="en-US"/>
              </w:rPr>
              <w:t>3</w:t>
            </w:r>
            <w:r>
              <w:rPr>
                <w:rFonts w:hAnsi="黑体" w:cs="黑体"/>
                <w:sz w:val="24"/>
                <w:szCs w:val="24"/>
              </w:rPr>
              <w:t>亿元（含）的竣工财务决算审计。</w:t>
            </w:r>
          </w:p>
          <w:p>
            <w:pPr>
              <w:spacing w:line="440" w:lineRule="exact"/>
              <w:rPr>
                <w:rFonts w:hAnsi="黑体" w:cs="黑体"/>
                <w:sz w:val="24"/>
                <w:szCs w:val="24"/>
              </w:rPr>
            </w:pPr>
            <w:r>
              <w:rPr>
                <w:rFonts w:hint="eastAsia" w:hAnsi="黑体" w:cs="黑体"/>
                <w:sz w:val="24"/>
                <w:szCs w:val="24"/>
              </w:rPr>
              <w:t>审核比选申请文件中按照比选文件第五章“比选申请文件格式”要求在“业绩情况表”中提供的证明材料是否符合以上要求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Times New Roman" w:cs="Times New Roman"/>
                <w:kern w:val="2"/>
                <w:sz w:val="24"/>
                <w:szCs w:val="24"/>
                <w:lang w:val="en-US" w:bidi="ar-SA"/>
              </w:rPr>
              <w:t>项目负责人</w:t>
            </w:r>
          </w:p>
        </w:tc>
        <w:tc>
          <w:tcPr>
            <w:tcW w:w="3441" w:type="pct"/>
            <w:vAlign w:val="center"/>
          </w:tcPr>
          <w:p>
            <w:pPr>
              <w:spacing w:line="440" w:lineRule="exact"/>
              <w:rPr>
                <w:rFonts w:hAnsi="黑体" w:cs="黑体"/>
                <w:sz w:val="24"/>
                <w:szCs w:val="24"/>
              </w:rPr>
            </w:pPr>
            <w:r>
              <w:rPr>
                <w:rFonts w:hint="eastAsia" w:hAnsi="黑体" w:cs="黑体"/>
                <w:sz w:val="24"/>
                <w:szCs w:val="24"/>
              </w:rPr>
              <w:t>标段</w:t>
            </w:r>
            <w:r>
              <w:rPr>
                <w:rFonts w:hAnsi="黑体" w:cs="黑体"/>
                <w:sz w:val="24"/>
                <w:szCs w:val="24"/>
              </w:rPr>
              <w:t>1：项目负责人1名。应同时具有①一级注册造价师（土木建筑工程）执业资格；②参选截止期日起上月或上上月前连续3个月在该比选申请单位的社保部门出具的养老保险证明材料。</w:t>
            </w:r>
          </w:p>
          <w:p>
            <w:pPr>
              <w:spacing w:line="440" w:lineRule="exact"/>
              <w:rPr>
                <w:rFonts w:hAnsi="黑体" w:cs="黑体"/>
                <w:sz w:val="24"/>
                <w:szCs w:val="24"/>
              </w:rPr>
            </w:pPr>
            <w:r>
              <w:rPr>
                <w:rFonts w:hint="eastAsia" w:hAnsi="黑体" w:cs="黑体"/>
                <w:sz w:val="24"/>
                <w:szCs w:val="24"/>
              </w:rPr>
              <w:t>标段</w:t>
            </w:r>
            <w:r>
              <w:rPr>
                <w:rFonts w:hAnsi="黑体" w:cs="黑体"/>
                <w:sz w:val="24"/>
                <w:szCs w:val="24"/>
              </w:rPr>
              <w:t>2：项目负责人1名。应同时具有①注册会计师执业资格；②参选截止期日起上月或上上月前连续3个月在该比选申请单位的社保部门出具的养老保险证明材料。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信誉要求</w:t>
            </w:r>
          </w:p>
        </w:tc>
        <w:tc>
          <w:tcPr>
            <w:tcW w:w="3441" w:type="pct"/>
            <w:vAlign w:val="center"/>
          </w:tcPr>
          <w:p>
            <w:pPr>
              <w:spacing w:line="440" w:lineRule="exact"/>
              <w:rPr>
                <w:rFonts w:hAnsi="黑体" w:cs="黑体"/>
                <w:sz w:val="24"/>
                <w:szCs w:val="24"/>
              </w:rPr>
            </w:pPr>
            <w:r>
              <w:rPr>
                <w:rFonts w:hint="eastAsia" w:hAnsi="黑体" w:cs="黑体"/>
                <w:sz w:val="24"/>
                <w:szCs w:val="24"/>
              </w:rPr>
              <w:t>符合比选文件第一章 比选公告“信誉要求”的内容规定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联合体</w:t>
            </w:r>
          </w:p>
        </w:tc>
        <w:tc>
          <w:tcPr>
            <w:tcW w:w="3441" w:type="pct"/>
            <w:vAlign w:val="center"/>
          </w:tcPr>
          <w:p>
            <w:pPr>
              <w:spacing w:line="440" w:lineRule="exact"/>
              <w:rPr>
                <w:rFonts w:hAnsi="黑体" w:cs="黑体"/>
                <w:sz w:val="24"/>
                <w:szCs w:val="24"/>
              </w:rPr>
            </w:pPr>
            <w:r>
              <w:rPr>
                <w:rFonts w:hint="eastAsia" w:hAnsi="黑体" w:cs="黑体"/>
                <w:sz w:val="24"/>
                <w:szCs w:val="24"/>
              </w:rPr>
              <w:t>本项目不接受联合体参选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转包分包</w:t>
            </w:r>
          </w:p>
        </w:tc>
        <w:tc>
          <w:tcPr>
            <w:tcW w:w="3441" w:type="pct"/>
            <w:vAlign w:val="center"/>
          </w:tcPr>
          <w:p>
            <w:pPr>
              <w:spacing w:line="440" w:lineRule="exact"/>
              <w:rPr>
                <w:sz w:val="24"/>
                <w:szCs w:val="24"/>
              </w:rPr>
            </w:pPr>
            <w:r>
              <w:rPr>
                <w:rFonts w:hint="eastAsia" w:hAnsi="黑体" w:cs="黑体"/>
                <w:sz w:val="24"/>
                <w:szCs w:val="24"/>
              </w:rPr>
              <w:t>不允许转包或违法分包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控股管理关系</w:t>
            </w:r>
          </w:p>
        </w:tc>
        <w:tc>
          <w:tcPr>
            <w:tcW w:w="3441" w:type="pct"/>
            <w:vAlign w:val="center"/>
          </w:tcPr>
          <w:p>
            <w:pPr>
              <w:spacing w:line="440" w:lineRule="exact"/>
              <w:rPr>
                <w:rFonts w:hAnsi="黑体" w:cs="黑体"/>
                <w:sz w:val="24"/>
                <w:szCs w:val="24"/>
              </w:rPr>
            </w:pPr>
            <w:r>
              <w:rPr>
                <w:rFonts w:hint="eastAsia" w:hAnsi="黑体" w:cs="黑体"/>
                <w:sz w:val="24"/>
                <w:szCs w:val="24"/>
              </w:rPr>
              <w:t>比选申请人单位负责人为同一人或者存在控股、管理关系的不同单位，不得同时参加同一标段参选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不得存在情形</w:t>
            </w:r>
          </w:p>
        </w:tc>
        <w:tc>
          <w:tcPr>
            <w:tcW w:w="3441" w:type="pct"/>
            <w:vAlign w:val="center"/>
          </w:tcPr>
          <w:p>
            <w:pPr>
              <w:spacing w:line="440" w:lineRule="exact"/>
              <w:rPr>
                <w:rFonts w:hAnsi="黑体" w:cs="黑体"/>
                <w:sz w:val="24"/>
                <w:szCs w:val="24"/>
              </w:rPr>
            </w:pPr>
            <w:r>
              <w:rPr>
                <w:rFonts w:hint="eastAsia" w:hAnsi="黑体" w:cs="黑体"/>
                <w:sz w:val="24"/>
                <w:szCs w:val="24"/>
              </w:rPr>
              <w:t>符合比选文件第二章 比选申请人须知前附表“</w:t>
            </w:r>
            <w:r>
              <w:rPr>
                <w:rFonts w:hint="eastAsia" w:hAnsi="宋体" w:cs="宋体"/>
                <w:color w:val="000000"/>
                <w:sz w:val="24"/>
                <w:szCs w:val="24"/>
                <w:lang w:val="en-US" w:bidi="ar-SA"/>
              </w:rPr>
              <w:t>不得存在情形</w:t>
            </w:r>
            <w:r>
              <w:rPr>
                <w:rFonts w:hint="eastAsia" w:hAnsi="黑体" w:cs="黑体"/>
                <w:sz w:val="24"/>
                <w:szCs w:val="24"/>
              </w:rPr>
              <w:t>”的内容规定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比选申请文件格式</w:t>
            </w:r>
          </w:p>
        </w:tc>
        <w:tc>
          <w:tcPr>
            <w:tcW w:w="3441" w:type="pct"/>
            <w:vAlign w:val="center"/>
          </w:tcPr>
          <w:p>
            <w:pPr>
              <w:spacing w:line="440" w:lineRule="exact"/>
              <w:rPr>
                <w:rFonts w:hAnsi="黑体" w:cs="黑体"/>
                <w:sz w:val="24"/>
                <w:szCs w:val="24"/>
              </w:rPr>
            </w:pPr>
            <w:r>
              <w:rPr>
                <w:rFonts w:hint="eastAsia" w:hAnsi="黑体" w:cs="黑体"/>
                <w:sz w:val="24"/>
                <w:szCs w:val="24"/>
              </w:rPr>
              <w:t>比选申请文件中的重要内容（如比选申请书、法定代表人身份证明或法定代表人授权委托书、参选保证金等）按照比选文件规定的格式、内容和要求编制，关键字迹、印章清晰可辨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签字盖章</w:t>
            </w:r>
          </w:p>
        </w:tc>
        <w:tc>
          <w:tcPr>
            <w:tcW w:w="3441" w:type="pct"/>
            <w:vAlign w:val="center"/>
          </w:tcPr>
          <w:p>
            <w:pPr>
              <w:spacing w:line="440" w:lineRule="exact"/>
              <w:rPr>
                <w:rFonts w:hAnsi="黑体" w:cs="黑体"/>
                <w:sz w:val="24"/>
                <w:szCs w:val="24"/>
              </w:rPr>
            </w:pPr>
            <w:r>
              <w:rPr>
                <w:rFonts w:hint="eastAsia" w:hAnsi="黑体" w:cs="黑体"/>
                <w:sz w:val="24"/>
                <w:szCs w:val="24"/>
              </w:rPr>
              <w:t>比选申请文件正本文件中凡出现比选申请人落款和签字的地方应盖单位公章或签字：</w:t>
            </w:r>
          </w:p>
          <w:p>
            <w:pPr>
              <w:spacing w:line="440" w:lineRule="exact"/>
              <w:rPr>
                <w:rFonts w:hAnsi="黑体" w:cs="黑体"/>
                <w:sz w:val="24"/>
                <w:szCs w:val="24"/>
              </w:rPr>
            </w:pPr>
            <w:r>
              <w:rPr>
                <w:rFonts w:hint="eastAsia" w:hAnsi="黑体" w:cs="黑体"/>
                <w:sz w:val="24"/>
                <w:szCs w:val="24"/>
              </w:rPr>
              <w:t>（1）单位公章如确需要替代，则必须附使用“业务章”、“专用章”、“合同章”等的专用印章授权函（加盖单位公章），格式自拟；</w:t>
            </w:r>
          </w:p>
          <w:p>
            <w:pPr>
              <w:spacing w:line="440" w:lineRule="exact"/>
              <w:rPr>
                <w:rFonts w:hAnsi="黑体" w:cs="黑体"/>
                <w:sz w:val="24"/>
                <w:szCs w:val="24"/>
              </w:rPr>
            </w:pPr>
            <w:r>
              <w:rPr>
                <w:rFonts w:hint="eastAsia" w:hAnsi="黑体" w:cs="黑体"/>
                <w:sz w:val="24"/>
                <w:szCs w:val="24"/>
              </w:rPr>
              <w:t>（2）文件中所有标注“签字”处均指书写签字，不能以打印体、签名章代替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宋体" w:cs="宋体"/>
                <w:color w:val="000000" w:themeColor="text1"/>
                <w:sz w:val="24"/>
                <w:szCs w:val="24"/>
                <w14:textFill>
                  <w14:solidFill>
                    <w14:schemeClr w14:val="tx1"/>
                  </w14:solidFill>
                </w14:textFill>
              </w:rPr>
              <w:t>法定代表人（负责人）身份证明及授权委托书（如有）</w:t>
            </w:r>
          </w:p>
        </w:tc>
        <w:tc>
          <w:tcPr>
            <w:tcW w:w="3441" w:type="pct"/>
            <w:vAlign w:val="center"/>
          </w:tcPr>
          <w:p>
            <w:pPr>
              <w:spacing w:line="440" w:lineRule="exact"/>
              <w:rPr>
                <w:rFonts w:hAnsi="黑体" w:cs="黑体"/>
                <w:sz w:val="24"/>
                <w:szCs w:val="24"/>
              </w:rPr>
            </w:pPr>
            <w:r>
              <w:rPr>
                <w:rFonts w:hint="eastAsia" w:hAnsi="宋体"/>
                <w:color w:val="000000" w:themeColor="text1"/>
                <w:sz w:val="24"/>
                <w:szCs w:val="24"/>
                <w14:textFill>
                  <w14:solidFill>
                    <w14:schemeClr w14:val="tx1"/>
                  </w14:solidFill>
                </w14:textFill>
              </w:rPr>
              <w:t>比选申请人提供的材料应符合本比选文件第五章 比选申请文件格式的要求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报价</w:t>
            </w:r>
          </w:p>
        </w:tc>
        <w:tc>
          <w:tcPr>
            <w:tcW w:w="3441" w:type="pct"/>
            <w:vAlign w:val="center"/>
          </w:tcPr>
          <w:p>
            <w:pPr>
              <w:spacing w:line="440" w:lineRule="exact"/>
              <w:rPr>
                <w:rFonts w:hAnsi="黑体" w:cs="黑体"/>
                <w:sz w:val="24"/>
                <w:szCs w:val="24"/>
              </w:rPr>
            </w:pPr>
            <w:r>
              <w:rPr>
                <w:rFonts w:hint="eastAsia" w:hAnsi="黑体" w:cs="黑体"/>
                <w:sz w:val="24"/>
                <w:szCs w:val="24"/>
              </w:rPr>
              <w:t>报价符合比选文件要求，未超最高限价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参选有效期</w:t>
            </w:r>
          </w:p>
        </w:tc>
        <w:tc>
          <w:tcPr>
            <w:tcW w:w="3441" w:type="pct"/>
            <w:vAlign w:val="center"/>
          </w:tcPr>
          <w:p>
            <w:pPr>
              <w:spacing w:line="440" w:lineRule="exact"/>
              <w:rPr>
                <w:rFonts w:hAnsi="黑体" w:cs="黑体"/>
                <w:sz w:val="24"/>
                <w:szCs w:val="24"/>
              </w:rPr>
            </w:pPr>
            <w:r>
              <w:rPr>
                <w:rFonts w:hint="eastAsia" w:hAnsi="黑体" w:cs="黑体"/>
                <w:sz w:val="24"/>
                <w:szCs w:val="24"/>
              </w:rPr>
              <w:t>审核比选申请书中载明的参选有效期是否符合比选文件规定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pPr>
              <w:spacing w:line="440" w:lineRule="exact"/>
              <w:rPr>
                <w:rFonts w:hAnsi="黑体" w:cs="黑体"/>
                <w:sz w:val="24"/>
                <w:szCs w:val="24"/>
              </w:rPr>
            </w:pPr>
          </w:p>
        </w:tc>
        <w:tc>
          <w:tcPr>
            <w:tcW w:w="488" w:type="pct"/>
            <w:vMerge w:val="continue"/>
            <w:vAlign w:val="center"/>
          </w:tcPr>
          <w:p>
            <w:pPr>
              <w:spacing w:line="440" w:lineRule="exact"/>
              <w:rPr>
                <w:rFonts w:hAnsi="黑体" w:cs="黑体"/>
                <w:sz w:val="24"/>
                <w:szCs w:val="24"/>
              </w:rPr>
            </w:pPr>
          </w:p>
        </w:tc>
        <w:tc>
          <w:tcPr>
            <w:tcW w:w="620" w:type="pct"/>
            <w:vAlign w:val="center"/>
          </w:tcPr>
          <w:p>
            <w:pPr>
              <w:spacing w:line="440" w:lineRule="exact"/>
              <w:rPr>
                <w:rFonts w:hAnsi="黑体" w:cs="黑体"/>
                <w:sz w:val="24"/>
                <w:szCs w:val="24"/>
              </w:rPr>
            </w:pPr>
            <w:r>
              <w:rPr>
                <w:rFonts w:hint="eastAsia" w:hAnsi="黑体" w:cs="黑体"/>
                <w:sz w:val="24"/>
                <w:szCs w:val="24"/>
              </w:rPr>
              <w:t>其他</w:t>
            </w:r>
          </w:p>
        </w:tc>
        <w:tc>
          <w:tcPr>
            <w:tcW w:w="3441" w:type="pct"/>
            <w:vAlign w:val="center"/>
          </w:tcPr>
          <w:p>
            <w:pPr>
              <w:spacing w:line="440" w:lineRule="exact"/>
              <w:rPr>
                <w:rFonts w:hAnsi="黑体" w:cs="黑体"/>
                <w:sz w:val="24"/>
                <w:szCs w:val="24"/>
              </w:rPr>
            </w:pPr>
            <w:r>
              <w:rPr>
                <w:rFonts w:hint="eastAsia" w:hAnsi="黑体" w:cs="黑体"/>
                <w:sz w:val="24"/>
                <w:szCs w:val="24"/>
              </w:rPr>
              <w:t>比选申请文件存在重大偏差、比选文件规定的否决情形及其他不符合法律、法规规定的情形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hAnsi="黑体" w:cs="黑体"/>
                <w:sz w:val="24"/>
                <w:szCs w:val="24"/>
              </w:rPr>
            </w:pPr>
            <w:r>
              <w:rPr>
                <w:rFonts w:hint="eastAsia" w:hAnsi="黑体" w:cs="黑体"/>
                <w:sz w:val="24"/>
                <w:szCs w:val="24"/>
              </w:rPr>
              <w:t>2.2</w:t>
            </w:r>
          </w:p>
        </w:tc>
        <w:tc>
          <w:tcPr>
            <w:tcW w:w="488" w:type="pct"/>
            <w:vAlign w:val="center"/>
          </w:tcPr>
          <w:p>
            <w:pPr>
              <w:spacing w:line="440" w:lineRule="exact"/>
              <w:rPr>
                <w:rFonts w:hAnsi="黑体" w:cs="黑体"/>
                <w:sz w:val="24"/>
                <w:szCs w:val="24"/>
              </w:rPr>
            </w:pPr>
            <w:r>
              <w:rPr>
                <w:rFonts w:hint="eastAsia" w:hAnsi="黑体" w:cs="黑体"/>
                <w:sz w:val="24"/>
                <w:szCs w:val="24"/>
              </w:rPr>
              <w:t>详细评审</w:t>
            </w:r>
          </w:p>
        </w:tc>
        <w:tc>
          <w:tcPr>
            <w:tcW w:w="4061" w:type="pct"/>
            <w:gridSpan w:val="2"/>
            <w:vAlign w:val="center"/>
          </w:tcPr>
          <w:p>
            <w:pPr>
              <w:spacing w:line="440" w:lineRule="exact"/>
              <w:rPr>
                <w:rFonts w:hAnsi="黑体" w:cs="黑体"/>
                <w:sz w:val="24"/>
                <w:szCs w:val="24"/>
              </w:rPr>
            </w:pPr>
            <w:r>
              <w:rPr>
                <w:rFonts w:hint="eastAsia" w:hAnsi="宋体"/>
                <w:color w:val="000000" w:themeColor="text1"/>
                <w:sz w:val="24"/>
                <w:szCs w:val="24"/>
                <w14:textFill>
                  <w14:solidFill>
                    <w14:schemeClr w14:val="tx1"/>
                  </w14:solidFill>
                </w14:textFill>
              </w:rPr>
              <w:t>详见《详细评分表》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hAnsi="黑体" w:cs="黑体"/>
                <w:sz w:val="24"/>
                <w:szCs w:val="24"/>
              </w:rPr>
            </w:pPr>
            <w:r>
              <w:rPr>
                <w:rFonts w:hint="eastAsia" w:hAnsi="黑体" w:cs="黑体"/>
                <w:sz w:val="24"/>
                <w:szCs w:val="24"/>
              </w:rPr>
              <w:t>3.4.1</w:t>
            </w:r>
          </w:p>
        </w:tc>
        <w:tc>
          <w:tcPr>
            <w:tcW w:w="488" w:type="pct"/>
            <w:vAlign w:val="center"/>
          </w:tcPr>
          <w:p>
            <w:pPr>
              <w:spacing w:line="440" w:lineRule="exact"/>
              <w:rPr>
                <w:rFonts w:hAnsi="黑体" w:cs="黑体"/>
                <w:sz w:val="24"/>
                <w:szCs w:val="24"/>
              </w:rPr>
            </w:pPr>
            <w:r>
              <w:rPr>
                <w:rFonts w:hint="eastAsia" w:hAnsi="仿宋"/>
                <w:sz w:val="24"/>
                <w:szCs w:val="24"/>
              </w:rPr>
              <w:t>综合评分相同处理原则</w:t>
            </w:r>
          </w:p>
        </w:tc>
        <w:tc>
          <w:tcPr>
            <w:tcW w:w="4061" w:type="pct"/>
            <w:gridSpan w:val="2"/>
            <w:vAlign w:val="center"/>
          </w:tcPr>
          <w:p>
            <w:pPr>
              <w:widowControl/>
              <w:spacing w:line="440" w:lineRule="exact"/>
              <w:rPr>
                <w:rFonts w:hAnsi="仿宋"/>
                <w:b/>
                <w:color w:val="000000"/>
                <w:sz w:val="24"/>
                <w:szCs w:val="24"/>
              </w:rPr>
            </w:pPr>
            <w:r>
              <w:rPr>
                <w:rFonts w:hint="eastAsia" w:hAnsi="仿宋"/>
                <w:sz w:val="24"/>
                <w:szCs w:val="24"/>
              </w:rPr>
              <w:t>综合评分相同的，按报价由低到高顺序排列；综合评分相同，且报价相同的，按技术</w:t>
            </w:r>
            <w:r>
              <w:rPr>
                <w:rFonts w:hint="eastAsia" w:hAnsi="仿宋"/>
                <w:sz w:val="24"/>
                <w:szCs w:val="24"/>
                <w:lang w:val="en-US"/>
              </w:rPr>
              <w:t>部分</w:t>
            </w:r>
            <w:r>
              <w:rPr>
                <w:rFonts w:hint="eastAsia" w:hAnsi="仿宋"/>
                <w:sz w:val="24"/>
                <w:szCs w:val="24"/>
              </w:rPr>
              <w:t>评分由高到低顺序排列；综合评分相同，且报价、技术</w:t>
            </w:r>
            <w:r>
              <w:rPr>
                <w:rFonts w:hint="eastAsia" w:hAnsi="仿宋"/>
                <w:sz w:val="24"/>
                <w:szCs w:val="24"/>
                <w:lang w:val="en-US"/>
              </w:rPr>
              <w:t>部分</w:t>
            </w:r>
            <w:r>
              <w:rPr>
                <w:rFonts w:hint="eastAsia" w:hAnsi="仿宋"/>
                <w:sz w:val="24"/>
                <w:szCs w:val="24"/>
              </w:rPr>
              <w:t>评分均相同的，按</w:t>
            </w:r>
            <w:r>
              <w:rPr>
                <w:rFonts w:hint="eastAsia" w:hAnsi="仿宋"/>
                <w:sz w:val="24"/>
                <w:szCs w:val="24"/>
                <w:lang w:val="en-US"/>
              </w:rPr>
              <w:t>审计技术方案</w:t>
            </w:r>
            <w:r>
              <w:rPr>
                <w:rFonts w:hint="eastAsia" w:hAnsi="仿宋"/>
                <w:sz w:val="24"/>
                <w:szCs w:val="24"/>
              </w:rPr>
              <w:t>评分由高到低顺序排列。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hAnsi="黑体" w:cs="黑体"/>
                <w:sz w:val="24"/>
                <w:szCs w:val="24"/>
              </w:rPr>
            </w:pPr>
            <w:r>
              <w:rPr>
                <w:rFonts w:hint="eastAsia" w:hAnsi="黑体" w:cs="黑体"/>
                <w:sz w:val="24"/>
                <w:szCs w:val="24"/>
              </w:rPr>
              <w:t>3.4.2</w:t>
            </w:r>
          </w:p>
        </w:tc>
        <w:tc>
          <w:tcPr>
            <w:tcW w:w="488" w:type="pct"/>
            <w:vAlign w:val="center"/>
          </w:tcPr>
          <w:p>
            <w:pPr>
              <w:spacing w:line="440" w:lineRule="exact"/>
              <w:rPr>
                <w:rFonts w:hAnsi="仿宋"/>
                <w:sz w:val="24"/>
                <w:szCs w:val="24"/>
              </w:rPr>
            </w:pPr>
            <w:r>
              <w:rPr>
                <w:rFonts w:hint="eastAsia" w:hAnsi="仿宋"/>
                <w:sz w:val="24"/>
                <w:szCs w:val="24"/>
              </w:rPr>
              <w:t>中选候选人推荐原则</w:t>
            </w:r>
          </w:p>
        </w:tc>
        <w:tc>
          <w:tcPr>
            <w:tcW w:w="4061" w:type="pct"/>
            <w:gridSpan w:val="2"/>
            <w:vAlign w:val="center"/>
          </w:tcPr>
          <w:p>
            <w:pPr>
              <w:spacing w:line="440" w:lineRule="exact"/>
              <w:rPr>
                <w:rFonts w:hAnsi="仿宋"/>
                <w:sz w:val="24"/>
                <w:szCs w:val="24"/>
              </w:rPr>
            </w:pPr>
            <w:r>
              <w:rPr>
                <w:rFonts w:hint="eastAsia"/>
                <w:sz w:val="24"/>
                <w:szCs w:val="24"/>
              </w:rPr>
              <w:t>比选申请人最多只能中选1个标段。</w:t>
            </w:r>
            <w:r>
              <w:rPr>
                <w:rFonts w:hint="eastAsia"/>
                <w:sz w:val="24"/>
                <w:szCs w:val="24"/>
                <w:lang w:val="en-US"/>
              </w:rPr>
              <w:t>评审小组</w:t>
            </w:r>
            <w:r>
              <w:rPr>
                <w:rFonts w:hint="eastAsia"/>
                <w:sz w:val="24"/>
                <w:szCs w:val="24"/>
              </w:rPr>
              <w:t>按照评分方法要求的评分标准进行综合评审打分，以标包号顺序从小到大推荐综合得分由高到低的顺序推荐3名中选候选人（若不足3名，则取实际数量），如比选申请人在前序标包被推荐为第一中选候选人，则后续标包将不被推荐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pacing w:line="440" w:lineRule="exact"/>
              <w:rPr>
                <w:rFonts w:hAnsi="黑体" w:cs="黑体"/>
                <w:sz w:val="24"/>
                <w:szCs w:val="24"/>
              </w:rPr>
            </w:pPr>
            <w:r>
              <w:rPr>
                <w:rFonts w:hint="eastAsia" w:hAnsi="黑体" w:cs="黑体"/>
                <w:sz w:val="24"/>
                <w:szCs w:val="24"/>
              </w:rPr>
              <w:t>/</w:t>
            </w:r>
          </w:p>
        </w:tc>
        <w:tc>
          <w:tcPr>
            <w:tcW w:w="488" w:type="pct"/>
            <w:vAlign w:val="center"/>
          </w:tcPr>
          <w:p>
            <w:pPr>
              <w:spacing w:line="440" w:lineRule="exact"/>
              <w:rPr>
                <w:rFonts w:hAnsi="仿宋"/>
                <w:sz w:val="24"/>
                <w:szCs w:val="24"/>
              </w:rPr>
            </w:pPr>
            <w:r>
              <w:rPr>
                <w:rFonts w:hint="eastAsia" w:hAnsi="仿宋"/>
                <w:sz w:val="24"/>
                <w:szCs w:val="24"/>
              </w:rPr>
              <w:t>中选原则</w:t>
            </w:r>
          </w:p>
        </w:tc>
        <w:tc>
          <w:tcPr>
            <w:tcW w:w="4061" w:type="pct"/>
            <w:gridSpan w:val="2"/>
            <w:vAlign w:val="center"/>
          </w:tcPr>
          <w:p>
            <w:pPr>
              <w:spacing w:line="440" w:lineRule="exact"/>
              <w:rPr>
                <w:sz w:val="24"/>
                <w:szCs w:val="24"/>
                <w:lang w:val="en-US"/>
              </w:rPr>
            </w:pPr>
            <w:r>
              <w:rPr>
                <w:rFonts w:hint="eastAsia"/>
                <w:sz w:val="24"/>
                <w:szCs w:val="24"/>
                <w:lang w:val="en-US"/>
              </w:rPr>
              <w:t>（1）比选人依据评审小组推荐的中选候选人确定第一中选候选人为中选人，中选份额100%。</w:t>
            </w:r>
          </w:p>
          <w:p>
            <w:pPr>
              <w:spacing w:line="440" w:lineRule="exact"/>
              <w:rPr>
                <w:sz w:val="24"/>
                <w:szCs w:val="24"/>
                <w:lang w:val="en-US"/>
              </w:rPr>
            </w:pPr>
            <w:r>
              <w:rPr>
                <w:rFonts w:hint="eastAsia"/>
                <w:sz w:val="24"/>
                <w:szCs w:val="24"/>
                <w:lang w:val="en-US"/>
              </w:rPr>
              <w:t>（2）若在签订合同之前，中选人放弃中选、因不可抗力提出不能履行合同、不按照比选文件要求在规定的时间内提交履约保证金、被查实存在影响中选结果的违法行为等情形的，比选人按照评审小组提出的排名顺序依次确定其他中选候选人或比选申请人为中选人，也可以重新组织比选。</w:t>
            </w:r>
          </w:p>
        </w:tc>
      </w:tr>
    </w:tbl>
    <w:p/>
    <w:p>
      <w:pPr>
        <w:pStyle w:val="5"/>
        <w:sectPr>
          <w:pgSz w:w="11906" w:h="16838"/>
          <w:pgMar w:top="1928" w:right="1531" w:bottom="1928" w:left="1531" w:header="851" w:footer="992" w:gutter="0"/>
          <w:cols w:space="720" w:num="1"/>
          <w:docGrid w:type="lines" w:linePitch="317" w:charSpace="0"/>
        </w:sectPr>
      </w:pPr>
    </w:p>
    <w:p>
      <w:pPr>
        <w:pStyle w:val="5"/>
      </w:pPr>
      <w:r>
        <w:rPr>
          <w:rFonts w:hint="eastAsia"/>
        </w:rPr>
        <w:t>标段1《详细评分表》</w:t>
      </w:r>
    </w:p>
    <w:tbl>
      <w:tblPr>
        <w:tblStyle w:val="17"/>
        <w:tblW w:w="5000" w:type="pct"/>
        <w:tblInd w:w="0" w:type="dxa"/>
        <w:tblLayout w:type="fixed"/>
        <w:tblCellMar>
          <w:top w:w="0" w:type="dxa"/>
          <w:left w:w="108" w:type="dxa"/>
          <w:bottom w:w="0" w:type="dxa"/>
          <w:right w:w="108" w:type="dxa"/>
        </w:tblCellMar>
      </w:tblPr>
      <w:tblGrid>
        <w:gridCol w:w="1215"/>
        <w:gridCol w:w="1155"/>
        <w:gridCol w:w="765"/>
        <w:gridCol w:w="5925"/>
      </w:tblGrid>
      <w:tr>
        <w:tblPrEx>
          <w:tblCellMar>
            <w:top w:w="0" w:type="dxa"/>
            <w:left w:w="108" w:type="dxa"/>
            <w:bottom w:w="0" w:type="dxa"/>
            <w:right w:w="108" w:type="dxa"/>
          </w:tblCellMar>
        </w:tblPrEx>
        <w:trPr>
          <w:trHeight w:val="288" w:hRule="atLeast"/>
        </w:trPr>
        <w:tc>
          <w:tcPr>
            <w:tcW w:w="67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评审内容</w:t>
            </w:r>
          </w:p>
        </w:tc>
        <w:tc>
          <w:tcPr>
            <w:tcW w:w="637" w:type="pct"/>
            <w:tcBorders>
              <w:top w:val="single" w:color="auto" w:sz="4" w:space="0"/>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评审因素</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分值</w:t>
            </w:r>
          </w:p>
        </w:tc>
        <w:tc>
          <w:tcPr>
            <w:tcW w:w="3269" w:type="pct"/>
            <w:tcBorders>
              <w:top w:val="single" w:color="auto" w:sz="4" w:space="0"/>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评分标准</w:t>
            </w:r>
          </w:p>
        </w:tc>
      </w:tr>
      <w:tr>
        <w:tblPrEx>
          <w:tblCellMar>
            <w:top w:w="0" w:type="dxa"/>
            <w:left w:w="108" w:type="dxa"/>
            <w:bottom w:w="0" w:type="dxa"/>
            <w:right w:w="108" w:type="dxa"/>
          </w:tblCellMar>
        </w:tblPrEx>
        <w:trPr>
          <w:trHeight w:val="696" w:hRule="atLeast"/>
        </w:trPr>
        <w:tc>
          <w:tcPr>
            <w:tcW w:w="670" w:type="pct"/>
            <w:vMerge w:val="restart"/>
            <w:tcBorders>
              <w:top w:val="nil"/>
              <w:left w:val="single" w:color="auto" w:sz="4" w:space="0"/>
              <w:bottom w:val="single" w:color="000000"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商务部分</w:t>
            </w:r>
          </w:p>
          <w:p>
            <w:pPr>
              <w:spacing w:line="440" w:lineRule="exact"/>
              <w:rPr>
                <w:rFonts w:hint="eastAsia"/>
                <w:sz w:val="24"/>
                <w:szCs w:val="24"/>
                <w:lang w:val="en-US"/>
              </w:rPr>
            </w:pPr>
            <w:r>
              <w:rPr>
                <w:rFonts w:hint="eastAsia"/>
                <w:sz w:val="24"/>
                <w:szCs w:val="24"/>
                <w:lang w:val="en-US"/>
              </w:rPr>
              <w:t>（35分）</w:t>
            </w:r>
          </w:p>
        </w:tc>
        <w:tc>
          <w:tcPr>
            <w:tcW w:w="637"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业绩</w:t>
            </w: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12</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在符合比选文件资格要求的1个有效业绩的基础上，每增加1个房建类有效业绩加2分、每增加1个物流园区建设类有效业绩加3分，本项加满为止。1个业绩只能判定1个类别。</w:t>
            </w:r>
          </w:p>
        </w:tc>
      </w:tr>
      <w:tr>
        <w:tblPrEx>
          <w:tblCellMar>
            <w:top w:w="0" w:type="dxa"/>
            <w:left w:w="108" w:type="dxa"/>
            <w:bottom w:w="0" w:type="dxa"/>
            <w:right w:w="108" w:type="dxa"/>
          </w:tblCellMar>
        </w:tblPrEx>
        <w:trPr>
          <w:trHeight w:val="2880" w:hRule="atLeast"/>
        </w:trPr>
        <w:tc>
          <w:tcPr>
            <w:tcW w:w="670" w:type="pct"/>
            <w:vMerge w:val="continue"/>
            <w:tcBorders>
              <w:top w:val="nil"/>
              <w:left w:val="single" w:color="auto" w:sz="4" w:space="0"/>
              <w:bottom w:val="single" w:color="000000" w:sz="4" w:space="0"/>
              <w:right w:val="single" w:color="auto" w:sz="4" w:space="0"/>
            </w:tcBorders>
            <w:vAlign w:val="center"/>
          </w:tcPr>
          <w:p>
            <w:pPr>
              <w:spacing w:line="440" w:lineRule="exact"/>
              <w:rPr>
                <w:rFonts w:hint="eastAsia"/>
                <w:sz w:val="24"/>
                <w:szCs w:val="24"/>
                <w:lang w:val="en-US"/>
              </w:rPr>
            </w:pPr>
          </w:p>
        </w:tc>
        <w:tc>
          <w:tcPr>
            <w:tcW w:w="637" w:type="pct"/>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本项目拟投入人员</w:t>
            </w: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12</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项目负责人：</w:t>
            </w:r>
          </w:p>
          <w:p>
            <w:pPr>
              <w:spacing w:line="440" w:lineRule="exact"/>
              <w:rPr>
                <w:rFonts w:hint="eastAsia"/>
                <w:sz w:val="24"/>
                <w:szCs w:val="24"/>
                <w:lang w:val="en-US"/>
              </w:rPr>
            </w:pPr>
            <w:r>
              <w:rPr>
                <w:rFonts w:hint="eastAsia"/>
                <w:sz w:val="24"/>
                <w:szCs w:val="24"/>
                <w:lang w:val="en-US"/>
              </w:rPr>
              <w:t>（1）具备工程类或工程经济类高级职称加3分；</w:t>
            </w:r>
          </w:p>
          <w:p>
            <w:pPr>
              <w:spacing w:line="440" w:lineRule="exact"/>
              <w:rPr>
                <w:rFonts w:hint="eastAsia"/>
                <w:sz w:val="24"/>
                <w:szCs w:val="24"/>
                <w:lang w:val="en-US"/>
              </w:rPr>
            </w:pPr>
            <w:r>
              <w:rPr>
                <w:rFonts w:hint="eastAsia"/>
                <w:sz w:val="24"/>
                <w:szCs w:val="24"/>
                <w:lang w:val="en-US"/>
              </w:rPr>
              <w:t>（2）工作经验：近三年（2020年1月1日起）担任过至少一个类似项目的工程竣工结算审计（核）的项目负责人，每具备一个工作经验加3分，本项最多加9分。</w:t>
            </w:r>
          </w:p>
          <w:p>
            <w:pPr>
              <w:spacing w:line="440" w:lineRule="exact"/>
              <w:rPr>
                <w:rFonts w:hint="eastAsia"/>
                <w:sz w:val="24"/>
                <w:szCs w:val="24"/>
                <w:lang w:val="en-US"/>
              </w:rPr>
            </w:pPr>
            <w:r>
              <w:rPr>
                <w:rFonts w:hint="eastAsia"/>
                <w:sz w:val="24"/>
                <w:szCs w:val="24"/>
                <w:lang w:val="en-US"/>
              </w:rPr>
              <w:t>注：（1）职称证书提供扫描件或复印件；</w:t>
            </w:r>
          </w:p>
          <w:p>
            <w:pPr>
              <w:spacing w:line="440" w:lineRule="exact"/>
              <w:rPr>
                <w:rFonts w:hint="eastAsia"/>
                <w:sz w:val="24"/>
                <w:szCs w:val="24"/>
                <w:lang w:val="en-US"/>
              </w:rPr>
            </w:pPr>
            <w:r>
              <w:rPr>
                <w:rFonts w:hint="eastAsia"/>
                <w:sz w:val="24"/>
                <w:szCs w:val="24"/>
                <w:lang w:val="en-US"/>
              </w:rPr>
              <w:t>（2）工作经验证明材料提供包含有项目负责人姓名的项目经验证明文件，证明文件仅限于合同关键页扫描件、证明函。合同关键页须能证明该人员作为项目负责人参与项目，如合同关键页不能证明则可以再额外提供合同相对方盖单位公章、审计部门章或合同章的证明函。</w:t>
            </w:r>
          </w:p>
          <w:p>
            <w:pPr>
              <w:spacing w:line="440" w:lineRule="exact"/>
              <w:rPr>
                <w:rFonts w:hint="eastAsia"/>
                <w:sz w:val="24"/>
                <w:szCs w:val="24"/>
                <w:lang w:val="en-US"/>
              </w:rPr>
            </w:pPr>
            <w:r>
              <w:rPr>
                <w:rFonts w:hint="eastAsia"/>
                <w:sz w:val="24"/>
                <w:szCs w:val="24"/>
                <w:lang w:val="en-US"/>
              </w:rPr>
              <w:t>（3）未按要求提供有效证明材料的对应项不得分。</w:t>
            </w:r>
          </w:p>
        </w:tc>
      </w:tr>
      <w:tr>
        <w:tblPrEx>
          <w:tblCellMar>
            <w:top w:w="0" w:type="dxa"/>
            <w:left w:w="108" w:type="dxa"/>
            <w:bottom w:w="0" w:type="dxa"/>
            <w:right w:w="108" w:type="dxa"/>
          </w:tblCellMar>
        </w:tblPrEx>
        <w:trPr>
          <w:trHeight w:val="864" w:hRule="atLeast"/>
        </w:trPr>
        <w:tc>
          <w:tcPr>
            <w:tcW w:w="670" w:type="pct"/>
            <w:vMerge w:val="continue"/>
            <w:tcBorders>
              <w:top w:val="nil"/>
              <w:left w:val="single" w:color="auto" w:sz="4" w:space="0"/>
              <w:bottom w:val="single" w:color="000000" w:sz="4" w:space="0"/>
              <w:right w:val="single" w:color="auto" w:sz="4" w:space="0"/>
            </w:tcBorders>
            <w:vAlign w:val="center"/>
          </w:tcPr>
          <w:p>
            <w:pPr>
              <w:spacing w:line="440" w:lineRule="exact"/>
              <w:rPr>
                <w:rFonts w:hint="eastAsia"/>
                <w:sz w:val="24"/>
                <w:szCs w:val="24"/>
                <w:lang w:val="en-US"/>
              </w:rPr>
            </w:pPr>
          </w:p>
        </w:tc>
        <w:tc>
          <w:tcPr>
            <w:tcW w:w="637"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8</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本项目拟建团队除项目负责人，每增加1名一级注册造价师（土木建筑工程）加3分，最多加6分；每增加1名一级注册造价师（安装工程）加2分，最多加2分。1人1证，1人多证（多个专业）不重复计分。</w:t>
            </w:r>
          </w:p>
          <w:p>
            <w:pPr>
              <w:spacing w:line="440" w:lineRule="exact"/>
              <w:rPr>
                <w:rFonts w:hint="eastAsia"/>
                <w:sz w:val="24"/>
                <w:szCs w:val="24"/>
                <w:lang w:val="en-US"/>
              </w:rPr>
            </w:pPr>
            <w:r>
              <w:rPr>
                <w:rFonts w:hint="eastAsia"/>
                <w:sz w:val="24"/>
                <w:szCs w:val="24"/>
                <w:lang w:val="en-US"/>
              </w:rPr>
              <w:t>上述人员能按比选文件第三章要求提供养老保险证明材料才予以加分，否则视为无效人员不予计算。</w:t>
            </w:r>
          </w:p>
        </w:tc>
      </w:tr>
      <w:tr>
        <w:tblPrEx>
          <w:tblCellMar>
            <w:top w:w="0" w:type="dxa"/>
            <w:left w:w="108" w:type="dxa"/>
            <w:bottom w:w="0" w:type="dxa"/>
            <w:right w:w="108" w:type="dxa"/>
          </w:tblCellMar>
        </w:tblPrEx>
        <w:trPr>
          <w:trHeight w:val="576" w:hRule="atLeast"/>
        </w:trPr>
        <w:tc>
          <w:tcPr>
            <w:tcW w:w="670" w:type="pct"/>
            <w:vMerge w:val="continue"/>
            <w:tcBorders>
              <w:top w:val="nil"/>
              <w:left w:val="single" w:color="auto" w:sz="4" w:space="0"/>
              <w:bottom w:val="single" w:color="000000" w:sz="4" w:space="0"/>
              <w:right w:val="single" w:color="auto" w:sz="4" w:space="0"/>
            </w:tcBorders>
            <w:vAlign w:val="center"/>
          </w:tcPr>
          <w:p>
            <w:pPr>
              <w:spacing w:line="440" w:lineRule="exact"/>
              <w:rPr>
                <w:rFonts w:hint="eastAsia"/>
                <w:sz w:val="24"/>
                <w:szCs w:val="24"/>
                <w:lang w:val="en-US"/>
              </w:rPr>
            </w:pPr>
          </w:p>
        </w:tc>
        <w:tc>
          <w:tcPr>
            <w:tcW w:w="637"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人员一致性承诺</w:t>
            </w: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3</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比选申请人承诺本项目拟配置人员为后续进场服务人员，如特殊情况人员更换须征得比选人同意，并更换同等资质专业能力的人员。承诺满足上述要求得满分，否则不得分。</w:t>
            </w:r>
          </w:p>
        </w:tc>
      </w:tr>
      <w:tr>
        <w:tblPrEx>
          <w:tblCellMar>
            <w:top w:w="0" w:type="dxa"/>
            <w:left w:w="108" w:type="dxa"/>
            <w:bottom w:w="0" w:type="dxa"/>
            <w:right w:w="108" w:type="dxa"/>
          </w:tblCellMar>
        </w:tblPrEx>
        <w:trPr>
          <w:trHeight w:val="1152" w:hRule="atLeast"/>
        </w:trPr>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技</w:t>
            </w:r>
            <w:r>
              <w:rPr>
                <w:rFonts w:hint="eastAsia"/>
                <w:sz w:val="24"/>
                <w:szCs w:val="24"/>
                <w:lang w:val="en-US"/>
              </w:rPr>
              <w:t>术部分</w:t>
            </w:r>
          </w:p>
          <w:p>
            <w:pPr>
              <w:spacing w:line="440" w:lineRule="exact"/>
              <w:rPr>
                <w:rFonts w:ascii="仿宋" w:hAnsi="仿宋" w:eastAsia="仿宋" w:cs="宋体"/>
                <w:color w:val="000000"/>
                <w:lang w:val="en-US" w:bidi="ar-SA"/>
              </w:rPr>
            </w:pPr>
            <w:r>
              <w:rPr>
                <w:rFonts w:hint="eastAsia"/>
                <w:sz w:val="24"/>
                <w:szCs w:val="24"/>
                <w:lang w:val="en-US"/>
              </w:rPr>
              <w:t>（25分）</w:t>
            </w:r>
          </w:p>
        </w:tc>
        <w:tc>
          <w:tcPr>
            <w:tcW w:w="637"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审计组织方案</w:t>
            </w: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8</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根据比选申请人为本项目出具的审计组织方案进行评审：配备的审计团队人员数量、专业合理；审前准备、现场实施、后期报告各阶段目标清晰、时间计划和工作安排合理；审计团队与被审单位沟通、协调、确认方法恰当、清晰合理；审计团队内部指导、汇报、检查、管理方法恰当、清晰合理；与审计项目管理人员沟通机制清晰、适当。得分为优得8~6分，良得6~4分，一般得4~0分。</w:t>
            </w:r>
          </w:p>
        </w:tc>
      </w:tr>
      <w:tr>
        <w:tblPrEx>
          <w:tblCellMar>
            <w:top w:w="0" w:type="dxa"/>
            <w:left w:w="108" w:type="dxa"/>
            <w:bottom w:w="0" w:type="dxa"/>
            <w:right w:w="108" w:type="dxa"/>
          </w:tblCellMar>
        </w:tblPrEx>
        <w:trPr>
          <w:trHeight w:val="1009" w:hRule="atLeast"/>
        </w:trPr>
        <w:tc>
          <w:tcPr>
            <w:tcW w:w="670" w:type="pct"/>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s="宋体"/>
                <w:color w:val="000000"/>
                <w:lang w:val="en-US" w:bidi="ar-SA"/>
              </w:rPr>
            </w:pPr>
          </w:p>
        </w:tc>
        <w:tc>
          <w:tcPr>
            <w:tcW w:w="637"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审计技术方案</w:t>
            </w: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8</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比选申请人提供工程结算审计项目案例书面材料，案例由比选申请人选择任意一个2020年1月1日至今开展过的一个类似项目进行书面阐述，并提供拟在本项目开展的技术思路、落地方案等。评审小组对比选申请人所提供的材料做出专业评价。</w:t>
            </w:r>
          </w:p>
          <w:p>
            <w:pPr>
              <w:spacing w:line="440" w:lineRule="exact"/>
              <w:rPr>
                <w:rFonts w:hint="eastAsia"/>
                <w:sz w:val="24"/>
                <w:szCs w:val="24"/>
                <w:lang w:val="en-US"/>
              </w:rPr>
            </w:pPr>
            <w:r>
              <w:rPr>
                <w:rFonts w:hint="eastAsia"/>
                <w:sz w:val="24"/>
                <w:szCs w:val="24"/>
                <w:lang w:val="en-US"/>
              </w:rPr>
              <w:t>结构清晰，内容充分且合理，方案在公司可实施性高，前瞻性和创新性强，优得8~6分；</w:t>
            </w:r>
          </w:p>
          <w:p>
            <w:pPr>
              <w:spacing w:line="440" w:lineRule="exact"/>
              <w:rPr>
                <w:rFonts w:hint="eastAsia"/>
                <w:sz w:val="24"/>
                <w:szCs w:val="24"/>
                <w:lang w:val="en-US"/>
              </w:rPr>
            </w:pPr>
            <w:r>
              <w:rPr>
                <w:rFonts w:hint="eastAsia"/>
                <w:sz w:val="24"/>
                <w:szCs w:val="24"/>
                <w:lang w:val="en-US"/>
              </w:rPr>
              <w:t>结构较为清晰，内容较为充分合理，方案在公司可实施性较高，前瞻性和创新性较强，良得6~4分；</w:t>
            </w:r>
          </w:p>
          <w:p>
            <w:pPr>
              <w:spacing w:line="440" w:lineRule="exact"/>
              <w:rPr>
                <w:rFonts w:hint="eastAsia"/>
                <w:sz w:val="24"/>
                <w:szCs w:val="24"/>
                <w:lang w:val="en-US"/>
              </w:rPr>
            </w:pPr>
            <w:r>
              <w:rPr>
                <w:rFonts w:hint="eastAsia"/>
                <w:sz w:val="24"/>
                <w:szCs w:val="24"/>
                <w:lang w:val="en-US"/>
              </w:rPr>
              <w:t>结构一般，内容较为充分合理，方案在公司基本可落地实施，前瞻性和创新性一般，一般得4~0分；</w:t>
            </w:r>
          </w:p>
          <w:p>
            <w:pPr>
              <w:spacing w:line="440" w:lineRule="exact"/>
              <w:rPr>
                <w:rFonts w:hint="eastAsia"/>
                <w:sz w:val="24"/>
                <w:szCs w:val="24"/>
                <w:lang w:val="en-US"/>
              </w:rPr>
            </w:pPr>
            <w:r>
              <w:rPr>
                <w:rFonts w:hint="eastAsia"/>
                <w:sz w:val="24"/>
                <w:szCs w:val="24"/>
                <w:lang w:val="en-US"/>
              </w:rPr>
              <w:t xml:space="preserve">结构模糊，内容确实较多且不合理，方案完全不可实施，无前瞻性和创新性，不得分。    </w:t>
            </w:r>
          </w:p>
          <w:p>
            <w:pPr>
              <w:spacing w:line="440" w:lineRule="exact"/>
              <w:rPr>
                <w:rFonts w:hint="eastAsia"/>
                <w:sz w:val="24"/>
                <w:szCs w:val="24"/>
                <w:lang w:val="en-US"/>
              </w:rPr>
            </w:pPr>
            <w:r>
              <w:rPr>
                <w:rFonts w:hint="eastAsia"/>
                <w:sz w:val="24"/>
                <w:szCs w:val="24"/>
                <w:lang w:val="en-US"/>
              </w:rPr>
              <w:t>证明材料：</w:t>
            </w:r>
          </w:p>
          <w:p>
            <w:pPr>
              <w:spacing w:line="440" w:lineRule="exact"/>
              <w:rPr>
                <w:rFonts w:hint="eastAsia"/>
                <w:sz w:val="24"/>
                <w:szCs w:val="24"/>
                <w:lang w:val="en-US"/>
              </w:rPr>
            </w:pPr>
            <w:r>
              <w:rPr>
                <w:rFonts w:hint="eastAsia"/>
                <w:sz w:val="24"/>
                <w:szCs w:val="24"/>
                <w:lang w:val="en-US"/>
              </w:rPr>
              <w:t>1.项目案例材料需能证明比选申请人参与的为2020年1月1日开展的类似工程结算审计项目，如审计报告关键页、体现比选申请人或比选申请人人员的审计通知书等，或提供合同相对方盖单位公章、审计部门章的证明函。可以直接选取已提供的类似业绩案例展开阐述。</w:t>
            </w:r>
          </w:p>
          <w:p>
            <w:pPr>
              <w:spacing w:line="440" w:lineRule="exact"/>
              <w:rPr>
                <w:rFonts w:hint="eastAsia"/>
                <w:sz w:val="24"/>
                <w:szCs w:val="24"/>
                <w:lang w:val="en-US"/>
              </w:rPr>
            </w:pPr>
            <w:r>
              <w:rPr>
                <w:rFonts w:hint="eastAsia"/>
                <w:sz w:val="24"/>
                <w:szCs w:val="24"/>
                <w:lang w:val="en-US"/>
              </w:rPr>
              <w:t>2.证明材料需与项目案例具有关联性。</w:t>
            </w:r>
          </w:p>
          <w:p>
            <w:pPr>
              <w:spacing w:line="440" w:lineRule="exact"/>
              <w:rPr>
                <w:rFonts w:hint="eastAsia"/>
                <w:sz w:val="24"/>
                <w:szCs w:val="24"/>
                <w:lang w:val="en-US"/>
              </w:rPr>
            </w:pPr>
            <w:r>
              <w:rPr>
                <w:rFonts w:hint="eastAsia"/>
                <w:sz w:val="24"/>
                <w:szCs w:val="24"/>
                <w:lang w:val="en-US"/>
              </w:rPr>
              <w:t>未提供符合上述要求证明材料则以上各项均不得分。</w:t>
            </w:r>
          </w:p>
        </w:tc>
      </w:tr>
      <w:tr>
        <w:tblPrEx>
          <w:tblCellMar>
            <w:top w:w="0" w:type="dxa"/>
            <w:left w:w="108" w:type="dxa"/>
            <w:bottom w:w="0" w:type="dxa"/>
            <w:right w:w="108" w:type="dxa"/>
          </w:tblCellMar>
        </w:tblPrEx>
        <w:trPr>
          <w:trHeight w:val="1152" w:hRule="atLeast"/>
        </w:trPr>
        <w:tc>
          <w:tcPr>
            <w:tcW w:w="670" w:type="pct"/>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s="宋体"/>
                <w:color w:val="000000"/>
                <w:lang w:val="en-US" w:bidi="ar-SA"/>
              </w:rPr>
            </w:pPr>
          </w:p>
        </w:tc>
        <w:tc>
          <w:tcPr>
            <w:tcW w:w="637"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内部质量控制工作方案与重大问题沟通协商预案</w:t>
            </w: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9</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具有详尽可行的质量保障措施，促进审计质量和审计效率提升，能有效保障成果输出要求；提出的审计过程中的重点、难点及对应解决措施，项目审计问题的合理化建议。措施及建议完善且合理得9~7分；措施及建议一般但能保障成果输出得6~4分；保障措施不完善可能无法支撑项目完成、建议无法落地的得4~0分。</w:t>
            </w:r>
          </w:p>
        </w:tc>
      </w:tr>
      <w:tr>
        <w:tblPrEx>
          <w:tblCellMar>
            <w:top w:w="0" w:type="dxa"/>
            <w:left w:w="108" w:type="dxa"/>
            <w:bottom w:w="0" w:type="dxa"/>
            <w:right w:w="108" w:type="dxa"/>
          </w:tblCellMar>
        </w:tblPrEx>
        <w:trPr>
          <w:trHeight w:val="984"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价格部分</w:t>
            </w:r>
          </w:p>
          <w:p>
            <w:pPr>
              <w:spacing w:line="440" w:lineRule="exact"/>
              <w:rPr>
                <w:rFonts w:hint="eastAsia"/>
                <w:sz w:val="24"/>
                <w:szCs w:val="24"/>
                <w:lang w:val="en-US"/>
              </w:rPr>
            </w:pPr>
            <w:r>
              <w:rPr>
                <w:rFonts w:hint="eastAsia"/>
                <w:sz w:val="24"/>
                <w:szCs w:val="24"/>
                <w:lang w:val="en-US"/>
              </w:rPr>
              <w:t>（40分）</w:t>
            </w:r>
          </w:p>
        </w:tc>
        <w:tc>
          <w:tcPr>
            <w:tcW w:w="637"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基准价法</w:t>
            </w:r>
          </w:p>
        </w:tc>
        <w:tc>
          <w:tcPr>
            <w:tcW w:w="42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40</w:t>
            </w:r>
          </w:p>
        </w:tc>
        <w:tc>
          <w:tcPr>
            <w:tcW w:w="3269"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（1）将通过初步评审的比选申请人算术性修正后的参选报价作为有效参选报价；</w:t>
            </w:r>
          </w:p>
          <w:p>
            <w:pPr>
              <w:spacing w:line="440" w:lineRule="exact"/>
              <w:rPr>
                <w:rFonts w:hint="eastAsia"/>
                <w:sz w:val="24"/>
                <w:szCs w:val="24"/>
                <w:lang w:val="en-US"/>
              </w:rPr>
            </w:pPr>
            <w:r>
              <w:rPr>
                <w:rFonts w:hint="eastAsia"/>
                <w:sz w:val="24"/>
                <w:szCs w:val="24"/>
                <w:lang w:val="en-US"/>
              </w:rPr>
              <w:t>（2）评审基准价：</w:t>
            </w:r>
          </w:p>
          <w:p>
            <w:pPr>
              <w:spacing w:line="440" w:lineRule="exact"/>
              <w:rPr>
                <w:rFonts w:hint="eastAsia"/>
                <w:sz w:val="24"/>
                <w:szCs w:val="24"/>
                <w:lang w:val="en-US"/>
              </w:rPr>
            </w:pPr>
            <w:r>
              <w:rPr>
                <w:rFonts w:hint="eastAsia"/>
                <w:sz w:val="24"/>
                <w:szCs w:val="24"/>
                <w:lang w:val="en-US"/>
              </w:rPr>
              <w:t>①当有效参选报价的比选申请人数量≤5 家时，取所有有效参选报价的算术平均值作为评审基准价；</w:t>
            </w:r>
          </w:p>
          <w:p>
            <w:pPr>
              <w:spacing w:line="440" w:lineRule="exact"/>
              <w:rPr>
                <w:rFonts w:hint="eastAsia"/>
                <w:sz w:val="24"/>
                <w:szCs w:val="24"/>
                <w:lang w:val="en-US"/>
              </w:rPr>
            </w:pPr>
            <w:r>
              <w:rPr>
                <w:rFonts w:hint="eastAsia"/>
                <w:sz w:val="24"/>
                <w:szCs w:val="24"/>
                <w:lang w:val="en-US"/>
              </w:rPr>
              <w:t>②当有效参选报价的比选申请人数量＞5 家时，去掉其中的一个最高价和一个最低价后取剩余有效参选报价的算术平均值作为评审基准价。</w:t>
            </w:r>
          </w:p>
          <w:p>
            <w:pPr>
              <w:spacing w:line="440" w:lineRule="exact"/>
              <w:rPr>
                <w:rFonts w:hint="eastAsia"/>
                <w:sz w:val="24"/>
                <w:szCs w:val="24"/>
                <w:lang w:val="en-US"/>
              </w:rPr>
            </w:pPr>
            <w:r>
              <w:rPr>
                <w:rFonts w:hint="eastAsia"/>
                <w:sz w:val="24"/>
                <w:szCs w:val="24"/>
                <w:lang w:val="en-US"/>
              </w:rPr>
              <w:t>（3）基准价评分为满分40分，高于基准价的，每高1%扣0.5分，扣完为止；低于基准价的，每低1%扣0.2分，扣完为止。不足1%部分按线性计算。价格得分计算公式如下：</w:t>
            </w:r>
          </w:p>
          <w:p>
            <w:pPr>
              <w:spacing w:line="440" w:lineRule="exact"/>
              <w:rPr>
                <w:rFonts w:hint="eastAsia"/>
                <w:sz w:val="24"/>
                <w:szCs w:val="24"/>
                <w:lang w:val="en-US"/>
              </w:rPr>
            </w:pPr>
            <w:r>
              <w:rPr>
                <w:rFonts w:hint="eastAsia"/>
                <w:sz w:val="24"/>
                <w:szCs w:val="24"/>
                <w:lang w:val="en-US"/>
              </w:rPr>
              <w:t xml:space="preserve">    有效参选报价高于评审基准价：得分=40-（报价-基准价）/基准价/(1%)*0.5；</w:t>
            </w:r>
          </w:p>
          <w:p>
            <w:pPr>
              <w:spacing w:line="440" w:lineRule="exact"/>
              <w:rPr>
                <w:rFonts w:hint="eastAsia"/>
                <w:sz w:val="24"/>
                <w:szCs w:val="24"/>
                <w:lang w:val="en-US"/>
              </w:rPr>
            </w:pPr>
            <w:r>
              <w:rPr>
                <w:rFonts w:hint="eastAsia"/>
                <w:sz w:val="24"/>
                <w:szCs w:val="24"/>
                <w:lang w:val="en-US"/>
              </w:rPr>
              <w:t xml:space="preserve">    有效参选报价低于评审基准价：得分=40-（基准价-报价）/基准价/(1%)*0.2。</w:t>
            </w:r>
          </w:p>
        </w:tc>
      </w:tr>
    </w:tbl>
    <w:p>
      <w:pPr>
        <w:rPr>
          <w:lang w:val="en-US"/>
        </w:rPr>
      </w:pPr>
    </w:p>
    <w:p>
      <w:pPr>
        <w:pStyle w:val="5"/>
        <w:rPr>
          <w:rFonts w:hint="eastAsia"/>
        </w:rPr>
      </w:pPr>
    </w:p>
    <w:p>
      <w:pPr>
        <w:pStyle w:val="5"/>
      </w:pPr>
      <w:r>
        <w:rPr>
          <w:rFonts w:hint="eastAsia"/>
        </w:rPr>
        <w:t>标段</w:t>
      </w:r>
      <w:r>
        <w:t>2</w:t>
      </w:r>
      <w:r>
        <w:rPr>
          <w:rFonts w:hint="eastAsia"/>
        </w:rPr>
        <w:t>《详细评分表》</w:t>
      </w:r>
    </w:p>
    <w:tbl>
      <w:tblPr>
        <w:tblStyle w:val="17"/>
        <w:tblW w:w="5000" w:type="pct"/>
        <w:tblInd w:w="0" w:type="dxa"/>
        <w:tblLayout w:type="autofit"/>
        <w:tblCellMar>
          <w:top w:w="0" w:type="dxa"/>
          <w:left w:w="108" w:type="dxa"/>
          <w:bottom w:w="0" w:type="dxa"/>
          <w:right w:w="108" w:type="dxa"/>
        </w:tblCellMar>
      </w:tblPr>
      <w:tblGrid>
        <w:gridCol w:w="1176"/>
        <w:gridCol w:w="1176"/>
        <w:gridCol w:w="696"/>
        <w:gridCol w:w="6012"/>
      </w:tblGrid>
      <w:tr>
        <w:tblPrEx>
          <w:tblCellMar>
            <w:top w:w="0" w:type="dxa"/>
            <w:left w:w="108" w:type="dxa"/>
            <w:bottom w:w="0" w:type="dxa"/>
            <w:right w:w="108" w:type="dxa"/>
          </w:tblCellMar>
        </w:tblPrEx>
        <w:trPr>
          <w:trHeight w:val="288" w:hRule="atLeast"/>
        </w:trPr>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评审内容</w:t>
            </w:r>
          </w:p>
        </w:tc>
        <w:tc>
          <w:tcPr>
            <w:tcW w:w="604" w:type="pct"/>
            <w:tcBorders>
              <w:top w:val="single" w:color="auto" w:sz="4" w:space="0"/>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评审因素</w:t>
            </w:r>
          </w:p>
        </w:tc>
        <w:tc>
          <w:tcPr>
            <w:tcW w:w="362" w:type="pct"/>
            <w:tcBorders>
              <w:top w:val="single" w:color="auto" w:sz="4" w:space="0"/>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分值</w:t>
            </w:r>
          </w:p>
        </w:tc>
        <w:tc>
          <w:tcPr>
            <w:tcW w:w="3428" w:type="pct"/>
            <w:tcBorders>
              <w:top w:val="single" w:color="auto" w:sz="4" w:space="0"/>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评分标准</w:t>
            </w:r>
          </w:p>
        </w:tc>
      </w:tr>
      <w:tr>
        <w:tblPrEx>
          <w:tblCellMar>
            <w:top w:w="0" w:type="dxa"/>
            <w:left w:w="108" w:type="dxa"/>
            <w:bottom w:w="0" w:type="dxa"/>
            <w:right w:w="108" w:type="dxa"/>
          </w:tblCellMar>
        </w:tblPrEx>
        <w:trPr>
          <w:trHeight w:val="1008" w:hRule="atLeast"/>
        </w:trPr>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商务部分</w:t>
            </w:r>
          </w:p>
          <w:p>
            <w:pPr>
              <w:spacing w:line="440" w:lineRule="exact"/>
              <w:rPr>
                <w:rFonts w:hint="eastAsia"/>
                <w:sz w:val="24"/>
                <w:szCs w:val="24"/>
                <w:lang w:val="en-US"/>
              </w:rPr>
            </w:pPr>
            <w:r>
              <w:rPr>
                <w:rFonts w:hint="eastAsia"/>
                <w:sz w:val="24"/>
                <w:szCs w:val="24"/>
                <w:lang w:val="en-US"/>
              </w:rPr>
              <w:t>（35分）</w:t>
            </w:r>
          </w:p>
        </w:tc>
        <w:tc>
          <w:tcPr>
            <w:tcW w:w="604"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企业实力</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5</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以中国注册会计师协会（http://www.cicpa.org.cn/）最新一期会计师事务所综合评价信息为标准。得分标准：排名[1，10]得5分，排名[11，20]得4分，排名[21，40]得3分，排名[41，60]得2分，排名[61，80]得1分，其余不得分。</w:t>
            </w:r>
          </w:p>
        </w:tc>
      </w:tr>
      <w:tr>
        <w:tblPrEx>
          <w:tblCellMar>
            <w:top w:w="0" w:type="dxa"/>
            <w:left w:w="108" w:type="dxa"/>
            <w:bottom w:w="0" w:type="dxa"/>
            <w:right w:w="108" w:type="dxa"/>
          </w:tblCellMar>
        </w:tblPrEx>
        <w:trPr>
          <w:trHeight w:val="1152" w:hRule="atLeast"/>
        </w:trPr>
        <w:tc>
          <w:tcPr>
            <w:tcW w:w="604"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604"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人力资源</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6</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比选申请人注册会计师人数低于20人得0分；20人-100人得分=人数/100*6（四舍五入保留2位小数）；高于100人为满分。根据比选申请人提供的中国注册会计师协会行业管理信息系统证明文件或截图进行评审。</w:t>
            </w:r>
          </w:p>
        </w:tc>
      </w:tr>
      <w:tr>
        <w:tblPrEx>
          <w:tblCellMar>
            <w:top w:w="0" w:type="dxa"/>
            <w:left w:w="108" w:type="dxa"/>
            <w:bottom w:w="0" w:type="dxa"/>
            <w:right w:w="108" w:type="dxa"/>
          </w:tblCellMar>
        </w:tblPrEx>
        <w:trPr>
          <w:trHeight w:val="792" w:hRule="atLeast"/>
        </w:trPr>
        <w:tc>
          <w:tcPr>
            <w:tcW w:w="604"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604"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业绩</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12</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在符合比选文件资格要求的1个有效业绩的基础上，每增加1个房建类有效业绩加2分、每增加1个物流园区建设类有效业绩加3分，本项加满为止。1个业绩只能判定1个类别。</w:t>
            </w:r>
          </w:p>
        </w:tc>
      </w:tr>
      <w:tr>
        <w:tblPrEx>
          <w:tblCellMar>
            <w:top w:w="0" w:type="dxa"/>
            <w:left w:w="108" w:type="dxa"/>
            <w:bottom w:w="0" w:type="dxa"/>
            <w:right w:w="108" w:type="dxa"/>
          </w:tblCellMar>
        </w:tblPrEx>
        <w:trPr>
          <w:trHeight w:val="1524" w:hRule="atLeast"/>
        </w:trPr>
        <w:tc>
          <w:tcPr>
            <w:tcW w:w="604"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本项目拟投入人员</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6</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项目负责人工作经验：近三年（2020年1月1日起）担任过至少一个类似项目竣工财务决算审计的项目负责人，每具备一个工作经验加2分，本项最多加6分。</w:t>
            </w:r>
          </w:p>
          <w:p>
            <w:pPr>
              <w:spacing w:line="440" w:lineRule="exact"/>
              <w:rPr>
                <w:rFonts w:hint="eastAsia"/>
                <w:sz w:val="24"/>
                <w:szCs w:val="24"/>
                <w:lang w:val="en-US"/>
              </w:rPr>
            </w:pPr>
            <w:r>
              <w:rPr>
                <w:rFonts w:hint="eastAsia"/>
                <w:sz w:val="24"/>
                <w:szCs w:val="24"/>
                <w:lang w:val="en-US"/>
              </w:rPr>
              <w:t>提供包含有项目负责人姓名的项目经验证明文件，证明文件仅限于合同关键页扫描件、证明函。合同关键页须能证明该人员作为项目负责人参与项目，如合同关键页不能证明则可以再额外提供合同相对方盖单位公章、审计部门章或合同章的证明函。未按要求提供有效证明材料的不得分。</w:t>
            </w:r>
          </w:p>
        </w:tc>
      </w:tr>
      <w:tr>
        <w:tblPrEx>
          <w:tblCellMar>
            <w:top w:w="0" w:type="dxa"/>
            <w:left w:w="108" w:type="dxa"/>
            <w:bottom w:w="0" w:type="dxa"/>
            <w:right w:w="108" w:type="dxa"/>
          </w:tblCellMar>
        </w:tblPrEx>
        <w:trPr>
          <w:trHeight w:val="996" w:hRule="atLeast"/>
        </w:trPr>
        <w:tc>
          <w:tcPr>
            <w:tcW w:w="604"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604"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6</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本项目拟建团队除项目负责人，每增加1名注册会计师加3分，本项加满为止。</w:t>
            </w:r>
          </w:p>
          <w:p>
            <w:pPr>
              <w:spacing w:line="440" w:lineRule="exact"/>
              <w:rPr>
                <w:rFonts w:hint="eastAsia"/>
                <w:sz w:val="24"/>
                <w:szCs w:val="24"/>
                <w:lang w:val="en-US"/>
              </w:rPr>
            </w:pPr>
            <w:r>
              <w:rPr>
                <w:rFonts w:hint="eastAsia"/>
                <w:sz w:val="24"/>
                <w:szCs w:val="24"/>
                <w:lang w:val="en-US"/>
              </w:rPr>
              <w:t>上述人员能按比选文件第三章要求提供养老保险证明材料才予以加分，否则视为无效人员不予计算。</w:t>
            </w:r>
          </w:p>
        </w:tc>
      </w:tr>
      <w:tr>
        <w:tblPrEx>
          <w:tblCellMar>
            <w:top w:w="0" w:type="dxa"/>
            <w:left w:w="108" w:type="dxa"/>
            <w:bottom w:w="0" w:type="dxa"/>
            <w:right w:w="108" w:type="dxa"/>
          </w:tblCellMar>
        </w:tblPrEx>
        <w:trPr>
          <w:trHeight w:val="1440" w:hRule="atLeast"/>
        </w:trPr>
        <w:tc>
          <w:tcPr>
            <w:tcW w:w="604" w:type="pct"/>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技术部分</w:t>
            </w:r>
          </w:p>
          <w:p>
            <w:pPr>
              <w:spacing w:line="440" w:lineRule="exact"/>
              <w:rPr>
                <w:rFonts w:hint="eastAsia"/>
                <w:sz w:val="24"/>
                <w:szCs w:val="24"/>
                <w:lang w:val="en-US"/>
              </w:rPr>
            </w:pPr>
            <w:r>
              <w:rPr>
                <w:rFonts w:hint="eastAsia"/>
                <w:sz w:val="24"/>
                <w:szCs w:val="24"/>
                <w:lang w:val="en-US"/>
              </w:rPr>
              <w:t>（25分）</w:t>
            </w:r>
          </w:p>
        </w:tc>
        <w:tc>
          <w:tcPr>
            <w:tcW w:w="604"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审计组织方案</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8</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根据比选申请人为本项目出具的审计组织方案进行评审：</w:t>
            </w:r>
          </w:p>
          <w:p>
            <w:pPr>
              <w:spacing w:line="440" w:lineRule="exact"/>
              <w:rPr>
                <w:rFonts w:hint="eastAsia"/>
                <w:sz w:val="24"/>
                <w:szCs w:val="24"/>
                <w:lang w:val="en-US"/>
              </w:rPr>
            </w:pPr>
            <w:r>
              <w:rPr>
                <w:rFonts w:hint="eastAsia"/>
                <w:sz w:val="24"/>
                <w:szCs w:val="24"/>
                <w:lang w:val="en-US"/>
              </w:rPr>
              <w:t>配备的审计团队人员数量、专业合理；审前准备、现场实施、后期报告各阶段目标清晰、时间计划和工作安排合理；审计团队与被审单位沟通、协调、确认方法恰当、清晰合理；审计团队内部指导、汇报、检查、管理方法恰当、清晰合理；与审计项目管理人员沟通机制清晰、适当。得分为优得8~6分，良得6~4分，一般得4~0分。</w:t>
            </w:r>
          </w:p>
        </w:tc>
      </w:tr>
      <w:tr>
        <w:tblPrEx>
          <w:tblCellMar>
            <w:top w:w="0" w:type="dxa"/>
            <w:left w:w="108" w:type="dxa"/>
            <w:bottom w:w="0" w:type="dxa"/>
            <w:right w:w="108" w:type="dxa"/>
          </w:tblCellMar>
        </w:tblPrEx>
        <w:trPr>
          <w:trHeight w:val="940" w:hRule="atLeast"/>
        </w:trPr>
        <w:tc>
          <w:tcPr>
            <w:tcW w:w="604"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604"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审计技术方案</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8</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比选申请人提供财务决算审计项目案例书面材料，案例由比选申请人选择任意一个2020年1月1日至今开展过的一个类似项目进行书面阐述，并提供拟在本项目开展的技术思路、落地方案等。评审小组对比选申请人所提供的材料做出专业评价。</w:t>
            </w:r>
          </w:p>
          <w:p>
            <w:pPr>
              <w:spacing w:line="440" w:lineRule="exact"/>
              <w:rPr>
                <w:rFonts w:hint="eastAsia"/>
                <w:sz w:val="24"/>
                <w:szCs w:val="24"/>
                <w:lang w:val="en-US"/>
              </w:rPr>
            </w:pPr>
            <w:r>
              <w:rPr>
                <w:rFonts w:hint="eastAsia"/>
                <w:sz w:val="24"/>
                <w:szCs w:val="24"/>
                <w:lang w:val="en-US"/>
              </w:rPr>
              <w:t>结构清晰，内容充分且合理，方案在公司可实施性高，前瞻性和创新性强，优得8~6分；</w:t>
            </w:r>
          </w:p>
          <w:p>
            <w:pPr>
              <w:spacing w:line="440" w:lineRule="exact"/>
              <w:rPr>
                <w:rFonts w:hint="eastAsia"/>
                <w:sz w:val="24"/>
                <w:szCs w:val="24"/>
                <w:lang w:val="en-US"/>
              </w:rPr>
            </w:pPr>
            <w:r>
              <w:rPr>
                <w:rFonts w:hint="eastAsia"/>
                <w:sz w:val="24"/>
                <w:szCs w:val="24"/>
                <w:lang w:val="en-US"/>
              </w:rPr>
              <w:t>结构较为清晰，内容较为充分合理，方案在公司可实施性较高，前瞻性和创新性较强，良得6~4分；</w:t>
            </w:r>
          </w:p>
          <w:p>
            <w:pPr>
              <w:spacing w:line="440" w:lineRule="exact"/>
              <w:rPr>
                <w:rFonts w:hint="eastAsia"/>
                <w:sz w:val="24"/>
                <w:szCs w:val="24"/>
                <w:lang w:val="en-US"/>
              </w:rPr>
            </w:pPr>
            <w:r>
              <w:rPr>
                <w:rFonts w:hint="eastAsia"/>
                <w:sz w:val="24"/>
                <w:szCs w:val="24"/>
                <w:lang w:val="en-US"/>
              </w:rPr>
              <w:t>结构一般，内容较为充分合理，方案在公司基本可落地实施，前瞻性和创新性一般，一般得4~0分；</w:t>
            </w:r>
          </w:p>
          <w:p>
            <w:pPr>
              <w:spacing w:line="440" w:lineRule="exact"/>
              <w:rPr>
                <w:rFonts w:hint="eastAsia"/>
                <w:sz w:val="24"/>
                <w:szCs w:val="24"/>
                <w:lang w:val="en-US"/>
              </w:rPr>
            </w:pPr>
            <w:r>
              <w:rPr>
                <w:rFonts w:hint="eastAsia"/>
                <w:sz w:val="24"/>
                <w:szCs w:val="24"/>
                <w:lang w:val="en-US"/>
              </w:rPr>
              <w:t xml:space="preserve">结构模糊，内容确实较多且不合理，方案完全不可实施，无前瞻性和创新性，不得分。    </w:t>
            </w:r>
          </w:p>
          <w:p>
            <w:pPr>
              <w:spacing w:line="440" w:lineRule="exact"/>
              <w:rPr>
                <w:rFonts w:hint="eastAsia"/>
                <w:sz w:val="24"/>
                <w:szCs w:val="24"/>
                <w:lang w:val="en-US"/>
              </w:rPr>
            </w:pPr>
            <w:r>
              <w:rPr>
                <w:rFonts w:hint="eastAsia"/>
                <w:sz w:val="24"/>
                <w:szCs w:val="24"/>
                <w:lang w:val="en-US"/>
              </w:rPr>
              <w:t>证明材料：1.项目案例材料需能证明比选申请人参与的为2020年1月1日开展的类似财务决算审计项目，如审计报告关键页、体现比选申请人或比选申请人人员的审计通知书等，或提供合同相对方盖单位公章、审计部门章的证明函。可以直接选取已提供的类似业绩案例展开阐述。</w:t>
            </w:r>
          </w:p>
          <w:p>
            <w:pPr>
              <w:spacing w:line="440" w:lineRule="exact"/>
              <w:rPr>
                <w:rFonts w:hint="eastAsia"/>
                <w:sz w:val="24"/>
                <w:szCs w:val="24"/>
                <w:lang w:val="en-US"/>
              </w:rPr>
            </w:pPr>
            <w:r>
              <w:rPr>
                <w:rFonts w:hint="eastAsia"/>
                <w:sz w:val="24"/>
                <w:szCs w:val="24"/>
                <w:lang w:val="en-US"/>
              </w:rPr>
              <w:t>2.证明材料需与项目案例具有关联性。</w:t>
            </w:r>
          </w:p>
          <w:p>
            <w:pPr>
              <w:spacing w:line="440" w:lineRule="exact"/>
              <w:rPr>
                <w:rFonts w:hint="eastAsia"/>
                <w:sz w:val="24"/>
                <w:szCs w:val="24"/>
                <w:lang w:val="en-US"/>
              </w:rPr>
            </w:pPr>
            <w:r>
              <w:rPr>
                <w:rFonts w:hint="eastAsia"/>
                <w:sz w:val="24"/>
                <w:szCs w:val="24"/>
                <w:lang w:val="en-US"/>
              </w:rPr>
              <w:t>未提供符合上述要求证明材料则以上各项均不得分。</w:t>
            </w:r>
          </w:p>
        </w:tc>
      </w:tr>
      <w:tr>
        <w:tblPrEx>
          <w:tblCellMar>
            <w:top w:w="0" w:type="dxa"/>
            <w:left w:w="108" w:type="dxa"/>
            <w:bottom w:w="0" w:type="dxa"/>
            <w:right w:w="108" w:type="dxa"/>
          </w:tblCellMar>
        </w:tblPrEx>
        <w:trPr>
          <w:trHeight w:val="1212" w:hRule="atLeast"/>
        </w:trPr>
        <w:tc>
          <w:tcPr>
            <w:tcW w:w="604" w:type="pct"/>
            <w:vMerge w:val="continue"/>
            <w:tcBorders>
              <w:top w:val="nil"/>
              <w:left w:val="single" w:color="auto" w:sz="4" w:space="0"/>
              <w:bottom w:val="single" w:color="auto" w:sz="4" w:space="0"/>
              <w:right w:val="single" w:color="auto" w:sz="4" w:space="0"/>
            </w:tcBorders>
            <w:vAlign w:val="center"/>
          </w:tcPr>
          <w:p>
            <w:pPr>
              <w:spacing w:line="440" w:lineRule="exact"/>
              <w:rPr>
                <w:rFonts w:hint="eastAsia"/>
                <w:sz w:val="24"/>
                <w:szCs w:val="24"/>
                <w:lang w:val="en-US"/>
              </w:rPr>
            </w:pPr>
          </w:p>
        </w:tc>
        <w:tc>
          <w:tcPr>
            <w:tcW w:w="604"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内部质量控制工作方案与重大问题沟通协商预案</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9</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具有详尽可行的质量保障措施，促进审计质量和审计效率提升，能有效保障成果输出要求；提出的审计过程中的重点、难点及对应解决措施，项目审计问题的合理化建议。措施及建议完善且合理得9~7分；措施及建议一般但能保障成果输出得6~4分；保障措施不完善可能无法支撑项目完成、建议无法落地的得4~0分。</w:t>
            </w:r>
          </w:p>
        </w:tc>
      </w:tr>
      <w:tr>
        <w:tblPrEx>
          <w:tblCellMar>
            <w:top w:w="0" w:type="dxa"/>
            <w:left w:w="108" w:type="dxa"/>
            <w:bottom w:w="0" w:type="dxa"/>
            <w:right w:w="108" w:type="dxa"/>
          </w:tblCellMar>
        </w:tblPrEx>
        <w:trPr>
          <w:trHeight w:val="557" w:hRule="atLeast"/>
        </w:trPr>
        <w:tc>
          <w:tcPr>
            <w:tcW w:w="604" w:type="pct"/>
            <w:tcBorders>
              <w:top w:val="nil"/>
              <w:left w:val="single" w:color="auto" w:sz="4" w:space="0"/>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价格部分</w:t>
            </w:r>
          </w:p>
          <w:p>
            <w:pPr>
              <w:spacing w:line="440" w:lineRule="exact"/>
              <w:rPr>
                <w:rFonts w:hint="eastAsia"/>
                <w:sz w:val="24"/>
                <w:szCs w:val="24"/>
                <w:lang w:val="en-US"/>
              </w:rPr>
            </w:pPr>
            <w:r>
              <w:rPr>
                <w:rFonts w:hint="eastAsia"/>
                <w:sz w:val="24"/>
                <w:szCs w:val="24"/>
                <w:lang w:val="en-US"/>
              </w:rPr>
              <w:t>（40分）</w:t>
            </w:r>
          </w:p>
        </w:tc>
        <w:tc>
          <w:tcPr>
            <w:tcW w:w="604"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基准价法</w:t>
            </w:r>
          </w:p>
        </w:tc>
        <w:tc>
          <w:tcPr>
            <w:tcW w:w="362" w:type="pct"/>
            <w:tcBorders>
              <w:top w:val="nil"/>
              <w:left w:val="nil"/>
              <w:bottom w:val="single" w:color="auto" w:sz="4" w:space="0"/>
              <w:right w:val="single" w:color="auto" w:sz="4" w:space="0"/>
            </w:tcBorders>
            <w:shd w:val="clear" w:color="auto" w:fill="auto"/>
            <w:noWrap/>
            <w:vAlign w:val="center"/>
          </w:tcPr>
          <w:p>
            <w:pPr>
              <w:spacing w:line="440" w:lineRule="exact"/>
              <w:rPr>
                <w:rFonts w:hint="eastAsia"/>
                <w:sz w:val="24"/>
                <w:szCs w:val="24"/>
                <w:lang w:val="en-US"/>
              </w:rPr>
            </w:pPr>
            <w:r>
              <w:rPr>
                <w:rFonts w:hint="eastAsia"/>
                <w:sz w:val="24"/>
                <w:szCs w:val="24"/>
                <w:lang w:val="en-US"/>
              </w:rPr>
              <w:t>40</w:t>
            </w:r>
          </w:p>
        </w:tc>
        <w:tc>
          <w:tcPr>
            <w:tcW w:w="3428" w:type="pct"/>
            <w:tcBorders>
              <w:top w:val="nil"/>
              <w:left w:val="nil"/>
              <w:bottom w:val="single" w:color="auto" w:sz="4" w:space="0"/>
              <w:right w:val="single" w:color="auto" w:sz="4" w:space="0"/>
            </w:tcBorders>
            <w:shd w:val="clear" w:color="auto" w:fill="auto"/>
            <w:vAlign w:val="center"/>
          </w:tcPr>
          <w:p>
            <w:pPr>
              <w:spacing w:line="440" w:lineRule="exact"/>
              <w:rPr>
                <w:rFonts w:hint="eastAsia"/>
                <w:sz w:val="24"/>
                <w:szCs w:val="24"/>
                <w:lang w:val="en-US"/>
              </w:rPr>
            </w:pPr>
            <w:r>
              <w:rPr>
                <w:rFonts w:hint="eastAsia"/>
                <w:sz w:val="24"/>
                <w:szCs w:val="24"/>
                <w:lang w:val="en-US"/>
              </w:rPr>
              <w:t>（1）将通过初步评审的比选申请人算术性修正后的参选报价作为有效参选报价；</w:t>
            </w:r>
          </w:p>
          <w:p>
            <w:pPr>
              <w:spacing w:line="440" w:lineRule="exact"/>
              <w:rPr>
                <w:rFonts w:hint="eastAsia"/>
                <w:sz w:val="24"/>
                <w:szCs w:val="24"/>
                <w:lang w:val="en-US"/>
              </w:rPr>
            </w:pPr>
            <w:r>
              <w:rPr>
                <w:rFonts w:hint="eastAsia"/>
                <w:sz w:val="24"/>
                <w:szCs w:val="24"/>
                <w:lang w:val="en-US"/>
              </w:rPr>
              <w:t>（2）评审基准价：</w:t>
            </w:r>
          </w:p>
          <w:p>
            <w:pPr>
              <w:spacing w:line="440" w:lineRule="exact"/>
              <w:rPr>
                <w:rFonts w:hint="eastAsia"/>
                <w:sz w:val="24"/>
                <w:szCs w:val="24"/>
                <w:lang w:val="en-US"/>
              </w:rPr>
            </w:pPr>
            <w:r>
              <w:rPr>
                <w:rFonts w:hint="eastAsia"/>
                <w:sz w:val="24"/>
                <w:szCs w:val="24"/>
                <w:lang w:val="en-US"/>
              </w:rPr>
              <w:t>①当有效参选报价的比选申请人数量≤5 家时，取所有有效参选报价的算术平均值作为评审基准价；</w:t>
            </w:r>
          </w:p>
          <w:p>
            <w:pPr>
              <w:spacing w:line="440" w:lineRule="exact"/>
              <w:rPr>
                <w:rFonts w:hint="eastAsia"/>
                <w:sz w:val="24"/>
                <w:szCs w:val="24"/>
                <w:lang w:val="en-US"/>
              </w:rPr>
            </w:pPr>
            <w:r>
              <w:rPr>
                <w:rFonts w:hint="eastAsia"/>
                <w:sz w:val="24"/>
                <w:szCs w:val="24"/>
                <w:lang w:val="en-US"/>
              </w:rPr>
              <w:t>②当有效参选报价的比选申请人数量＞5 家时，去掉其中的一个最高价和一个最低价后取剩余有效参选报价的算术平均值作为评审基准价。</w:t>
            </w:r>
          </w:p>
          <w:p>
            <w:pPr>
              <w:spacing w:line="440" w:lineRule="exact"/>
              <w:rPr>
                <w:rFonts w:hint="eastAsia"/>
                <w:sz w:val="24"/>
                <w:szCs w:val="24"/>
                <w:lang w:val="en-US"/>
              </w:rPr>
            </w:pPr>
            <w:r>
              <w:rPr>
                <w:rFonts w:hint="eastAsia"/>
                <w:sz w:val="24"/>
                <w:szCs w:val="24"/>
                <w:lang w:val="en-US"/>
              </w:rPr>
              <w:t>（3）基准价评分为满分40分，高于基准价的，每高1%扣0.5分，扣完为止；低于基准价的，每低1%扣0.2分，扣完为止。不足1%部分按线性计算。价格得分计算公式如下：</w:t>
            </w:r>
          </w:p>
          <w:p>
            <w:pPr>
              <w:spacing w:line="440" w:lineRule="exact"/>
              <w:rPr>
                <w:rFonts w:hint="eastAsia"/>
                <w:sz w:val="24"/>
                <w:szCs w:val="24"/>
                <w:lang w:val="en-US"/>
              </w:rPr>
            </w:pPr>
            <w:r>
              <w:rPr>
                <w:rFonts w:hint="eastAsia"/>
                <w:sz w:val="24"/>
                <w:szCs w:val="24"/>
                <w:lang w:val="en-US"/>
              </w:rPr>
              <w:t xml:space="preserve">    有效参选报价高于评审基准价：得分=40-（报价-基准价）/基准价/(1%)*0.5；</w:t>
            </w:r>
          </w:p>
          <w:p>
            <w:pPr>
              <w:spacing w:line="440" w:lineRule="exact"/>
              <w:rPr>
                <w:rFonts w:hint="eastAsia"/>
                <w:sz w:val="24"/>
                <w:szCs w:val="24"/>
                <w:lang w:val="en-US"/>
              </w:rPr>
            </w:pPr>
            <w:r>
              <w:rPr>
                <w:rFonts w:hint="eastAsia"/>
                <w:sz w:val="24"/>
                <w:szCs w:val="24"/>
                <w:lang w:val="en-US"/>
              </w:rPr>
              <w:t xml:space="preserve">    有效参选报价低于评审基准价：得分=40-（基准价-报价）/基准价/(1%)*0.2。</w:t>
            </w:r>
          </w:p>
        </w:tc>
      </w:tr>
    </w:tbl>
    <w:p>
      <w:pPr>
        <w:spacing w:line="440" w:lineRule="exact"/>
        <w:rPr>
          <w:rFonts w:hint="eastAsia"/>
          <w:sz w:val="24"/>
          <w:szCs w:val="24"/>
          <w:lang w:val="en-US"/>
        </w:rPr>
      </w:pPr>
    </w:p>
    <w:p>
      <w:pPr>
        <w:spacing w:line="440" w:lineRule="exact"/>
        <w:rPr>
          <w:rFonts w:hint="eastAsia"/>
          <w:sz w:val="24"/>
          <w:szCs w:val="24"/>
          <w:lang w:val="en-US"/>
        </w:rPr>
      </w:pPr>
    </w:p>
    <w:p>
      <w:pPr>
        <w:spacing w:line="440" w:lineRule="exact"/>
        <w:rPr>
          <w:rFonts w:hint="eastAsia"/>
          <w:sz w:val="24"/>
          <w:szCs w:val="24"/>
          <w:lang w:val="en-US"/>
        </w:rPr>
      </w:pPr>
    </w:p>
    <w:p>
      <w:pPr>
        <w:spacing w:line="440" w:lineRule="exact"/>
        <w:rPr>
          <w:rFonts w:hint="eastAsia"/>
          <w:sz w:val="24"/>
          <w:szCs w:val="24"/>
          <w:lang w:val="en-US"/>
        </w:rPr>
      </w:pPr>
    </w:p>
    <w:p>
      <w:pPr>
        <w:spacing w:line="440" w:lineRule="exact"/>
        <w:rPr>
          <w:rFonts w:hint="eastAsia"/>
          <w:sz w:val="24"/>
          <w:szCs w:val="24"/>
          <w:lang w:val="en-US"/>
        </w:rPr>
      </w:pPr>
    </w:p>
    <w:p>
      <w:pPr>
        <w:pStyle w:val="4"/>
        <w:rPr>
          <w:rFonts w:hint="eastAsia" w:ascii="仿宋_GB2312"/>
          <w:sz w:val="24"/>
        </w:rPr>
      </w:pPr>
      <w:r>
        <w:rPr>
          <w:rFonts w:hint="eastAsia" w:ascii="仿宋_GB2312"/>
          <w:sz w:val="24"/>
          <w:lang w:val="en-US"/>
        </w:rPr>
        <w:t>（二）比选办法</w:t>
      </w:r>
    </w:p>
    <w:p>
      <w:pPr>
        <w:pStyle w:val="5"/>
        <w:rPr>
          <w:sz w:val="24"/>
          <w:szCs w:val="24"/>
        </w:rPr>
      </w:pPr>
      <w:r>
        <w:rPr>
          <w:rFonts w:hint="eastAsia"/>
          <w:sz w:val="24"/>
          <w:szCs w:val="24"/>
        </w:rPr>
        <w:t>1 比选组织机构组建评审小组</w:t>
      </w:r>
    </w:p>
    <w:p>
      <w:pPr>
        <w:spacing w:line="560" w:lineRule="exact"/>
        <w:ind w:firstLine="480" w:firstLineChars="200"/>
        <w:rPr>
          <w:rFonts w:hAnsi="仿宋"/>
          <w:sz w:val="24"/>
          <w:szCs w:val="24"/>
        </w:rPr>
      </w:pPr>
      <w:r>
        <w:rPr>
          <w:rFonts w:hint="eastAsia" w:hAnsi="仿宋"/>
          <w:sz w:val="24"/>
          <w:szCs w:val="24"/>
        </w:rPr>
        <w:t>评审小组由5人或5人以上单数组成。</w:t>
      </w:r>
    </w:p>
    <w:p>
      <w:pPr>
        <w:pStyle w:val="5"/>
        <w:rPr>
          <w:sz w:val="24"/>
          <w:szCs w:val="24"/>
        </w:rPr>
      </w:pPr>
      <w:bookmarkStart w:id="16" w:name="_Ref77046541"/>
      <w:r>
        <w:rPr>
          <w:rFonts w:hint="eastAsia"/>
          <w:sz w:val="24"/>
          <w:szCs w:val="24"/>
        </w:rPr>
        <w:t>2 评审标准</w:t>
      </w:r>
    </w:p>
    <w:p>
      <w:pPr>
        <w:spacing w:line="560" w:lineRule="exact"/>
        <w:ind w:firstLine="482" w:firstLineChars="200"/>
        <w:rPr>
          <w:rFonts w:hAnsi="仿宋"/>
          <w:b/>
          <w:sz w:val="24"/>
          <w:szCs w:val="24"/>
        </w:rPr>
      </w:pPr>
      <w:bookmarkStart w:id="17" w:name="_Toc116081738"/>
      <w:bookmarkStart w:id="18" w:name="_Toc450489347"/>
      <w:r>
        <w:rPr>
          <w:rFonts w:hint="eastAsia" w:hAnsi="仿宋"/>
          <w:b/>
          <w:sz w:val="24"/>
          <w:szCs w:val="24"/>
        </w:rPr>
        <w:t>2.1初步评审标准</w:t>
      </w:r>
      <w:bookmarkEnd w:id="17"/>
      <w:bookmarkEnd w:id="18"/>
    </w:p>
    <w:p>
      <w:pPr>
        <w:spacing w:line="560" w:lineRule="exact"/>
        <w:ind w:firstLine="480" w:firstLineChars="200"/>
        <w:rPr>
          <w:rFonts w:hAnsi="仿宋"/>
          <w:sz w:val="24"/>
          <w:szCs w:val="24"/>
        </w:rPr>
      </w:pPr>
      <w:r>
        <w:rPr>
          <w:rFonts w:hint="eastAsia" w:hAnsi="仿宋"/>
          <w:sz w:val="24"/>
          <w:szCs w:val="24"/>
        </w:rPr>
        <w:t>初步评审标准：见比选办法前附表。</w:t>
      </w:r>
    </w:p>
    <w:p>
      <w:pPr>
        <w:spacing w:line="560" w:lineRule="exact"/>
        <w:ind w:firstLine="482" w:firstLineChars="200"/>
        <w:rPr>
          <w:rFonts w:hAnsi="仿宋"/>
          <w:b/>
          <w:sz w:val="24"/>
          <w:szCs w:val="24"/>
        </w:rPr>
      </w:pPr>
      <w:bookmarkStart w:id="19" w:name="_Toc116081739"/>
      <w:bookmarkStart w:id="20" w:name="_Toc450489348"/>
      <w:r>
        <w:rPr>
          <w:rFonts w:hint="eastAsia" w:hAnsi="仿宋"/>
          <w:b/>
          <w:sz w:val="24"/>
          <w:szCs w:val="24"/>
        </w:rPr>
        <w:t>2.2详细评审标准</w:t>
      </w:r>
      <w:bookmarkEnd w:id="19"/>
      <w:bookmarkEnd w:id="20"/>
    </w:p>
    <w:p>
      <w:pPr>
        <w:spacing w:line="560" w:lineRule="exact"/>
        <w:ind w:firstLine="480" w:firstLineChars="200"/>
        <w:rPr>
          <w:rFonts w:hAnsi="仿宋"/>
          <w:sz w:val="24"/>
          <w:szCs w:val="24"/>
        </w:rPr>
      </w:pPr>
      <w:r>
        <w:rPr>
          <w:rFonts w:hint="eastAsia" w:hAnsi="仿宋"/>
          <w:sz w:val="24"/>
          <w:szCs w:val="24"/>
        </w:rPr>
        <w:t>详细评审标准：见比选办法前附表。</w:t>
      </w:r>
    </w:p>
    <w:p>
      <w:pPr>
        <w:pStyle w:val="5"/>
        <w:rPr>
          <w:sz w:val="24"/>
          <w:szCs w:val="24"/>
        </w:rPr>
      </w:pPr>
      <w:r>
        <w:rPr>
          <w:rFonts w:hint="eastAsia"/>
          <w:sz w:val="24"/>
          <w:szCs w:val="24"/>
        </w:rPr>
        <w:t>3 评审程序</w:t>
      </w:r>
    </w:p>
    <w:p>
      <w:pPr>
        <w:spacing w:line="560" w:lineRule="exact"/>
        <w:ind w:firstLine="482" w:firstLineChars="200"/>
        <w:rPr>
          <w:rFonts w:hAnsi="仿宋"/>
          <w:b/>
          <w:sz w:val="24"/>
          <w:szCs w:val="24"/>
        </w:rPr>
      </w:pPr>
      <w:r>
        <w:rPr>
          <w:rFonts w:hint="eastAsia" w:hAnsi="仿宋"/>
          <w:b/>
          <w:sz w:val="24"/>
          <w:szCs w:val="24"/>
        </w:rPr>
        <w:t>3.1初步评审</w:t>
      </w:r>
    </w:p>
    <w:p>
      <w:pPr>
        <w:spacing w:line="560" w:lineRule="exact"/>
        <w:ind w:firstLine="480" w:firstLineChars="200"/>
        <w:rPr>
          <w:rFonts w:hAnsi="仿宋"/>
          <w:sz w:val="24"/>
          <w:szCs w:val="24"/>
        </w:rPr>
      </w:pPr>
      <w:r>
        <w:rPr>
          <w:rFonts w:hint="eastAsia" w:hAnsi="仿宋"/>
          <w:sz w:val="24"/>
          <w:szCs w:val="24"/>
        </w:rPr>
        <w:t>3.1.1评审小组根据本章第2.1款规定的标准对比选申请文件进行初步评审。有一项不符合评审标准的，评审小组应当否决其参选。凡未通过初步评审的比选申请人，其参选将被否决，不再进入后续详细评审程序。</w:t>
      </w:r>
    </w:p>
    <w:p>
      <w:pPr>
        <w:spacing w:line="560" w:lineRule="exact"/>
        <w:ind w:firstLine="480" w:firstLineChars="200"/>
        <w:rPr>
          <w:rFonts w:hAnsi="仿宋"/>
          <w:sz w:val="24"/>
          <w:szCs w:val="24"/>
        </w:rPr>
      </w:pPr>
      <w:r>
        <w:rPr>
          <w:rFonts w:hint="eastAsia" w:hAnsi="仿宋"/>
          <w:sz w:val="24"/>
          <w:szCs w:val="24"/>
        </w:rPr>
        <w:t>3.1.2在详细评审之前，评审小组要审查每份比选申请文件是否实质上响应了比选文件的要求，是否存在重大偏差。</w:t>
      </w:r>
    </w:p>
    <w:p>
      <w:pPr>
        <w:spacing w:line="560" w:lineRule="exact"/>
        <w:ind w:firstLine="480" w:firstLineChars="200"/>
        <w:rPr>
          <w:rFonts w:hAnsi="仿宋"/>
          <w:sz w:val="24"/>
          <w:szCs w:val="24"/>
        </w:rPr>
      </w:pPr>
      <w:r>
        <w:rPr>
          <w:rFonts w:hint="eastAsia" w:hAnsi="仿宋"/>
          <w:sz w:val="24"/>
          <w:szCs w:val="24"/>
        </w:rPr>
        <w:t>下列情况属于重大偏差：</w:t>
      </w:r>
    </w:p>
    <w:p>
      <w:pPr>
        <w:spacing w:line="560" w:lineRule="exact"/>
        <w:ind w:firstLine="480" w:firstLineChars="200"/>
        <w:rPr>
          <w:rFonts w:hAnsi="仿宋"/>
          <w:sz w:val="24"/>
          <w:szCs w:val="24"/>
        </w:rPr>
      </w:pPr>
      <w:r>
        <w:rPr>
          <w:rFonts w:hint="eastAsia" w:hAnsi="仿宋"/>
          <w:sz w:val="24"/>
          <w:szCs w:val="24"/>
        </w:rPr>
        <w:t>（1）未按比</w:t>
      </w:r>
      <w:bookmarkStart w:id="28" w:name="_GoBack"/>
      <w:r>
        <w:rPr>
          <w:rFonts w:hint="eastAsia" w:hAnsi="仿宋"/>
          <w:sz w:val="24"/>
          <w:szCs w:val="24"/>
        </w:rPr>
        <w:t>选文件</w:t>
      </w:r>
      <w:bookmarkEnd w:id="28"/>
      <w:r>
        <w:rPr>
          <w:rFonts w:hint="eastAsia" w:hAnsi="仿宋"/>
          <w:sz w:val="24"/>
          <w:szCs w:val="24"/>
        </w:rPr>
        <w:t>要求加盖单位公章或负责人（或授权代表）签字；</w:t>
      </w:r>
    </w:p>
    <w:p>
      <w:pPr>
        <w:spacing w:line="560" w:lineRule="exact"/>
        <w:ind w:firstLine="480" w:firstLineChars="200"/>
        <w:rPr>
          <w:rFonts w:hAnsi="仿宋"/>
          <w:sz w:val="24"/>
          <w:szCs w:val="24"/>
        </w:rPr>
      </w:pPr>
      <w:r>
        <w:rPr>
          <w:rFonts w:hint="eastAsia" w:hAnsi="仿宋"/>
          <w:sz w:val="24"/>
          <w:szCs w:val="24"/>
        </w:rPr>
        <w:t>（2）授权委托书未满足比选文件的要求；</w:t>
      </w:r>
    </w:p>
    <w:p>
      <w:pPr>
        <w:spacing w:line="560" w:lineRule="exact"/>
        <w:ind w:firstLine="480" w:firstLineChars="200"/>
        <w:rPr>
          <w:rFonts w:hAnsi="仿宋"/>
          <w:sz w:val="24"/>
          <w:szCs w:val="24"/>
        </w:rPr>
      </w:pPr>
      <w:r>
        <w:rPr>
          <w:rFonts w:hint="eastAsia" w:hAnsi="仿宋"/>
          <w:sz w:val="24"/>
          <w:szCs w:val="24"/>
        </w:rPr>
        <w:t>1）本授权书在比选申请人代表不是比选申请人负责人时办理，如由比选申请人负责人亲自签署比选文件并参与比选相关活动，则不需办理本授权书。</w:t>
      </w:r>
    </w:p>
    <w:p>
      <w:pPr>
        <w:spacing w:line="560" w:lineRule="exact"/>
        <w:ind w:firstLine="480" w:firstLineChars="200"/>
        <w:rPr>
          <w:rFonts w:hAnsi="仿宋"/>
          <w:sz w:val="24"/>
          <w:szCs w:val="24"/>
        </w:rPr>
      </w:pPr>
      <w:r>
        <w:rPr>
          <w:rFonts w:hint="eastAsia" w:hAnsi="仿宋"/>
          <w:sz w:val="24"/>
          <w:szCs w:val="24"/>
        </w:rPr>
        <w:t>2）如果有委托代理人的，应同时附负责人身份证明、授权委托书。否则不通过其初步评审。</w:t>
      </w:r>
    </w:p>
    <w:p>
      <w:pPr>
        <w:spacing w:line="560" w:lineRule="exact"/>
        <w:ind w:firstLine="480" w:firstLineChars="200"/>
        <w:rPr>
          <w:rFonts w:hAnsi="仿宋"/>
          <w:sz w:val="24"/>
          <w:szCs w:val="24"/>
        </w:rPr>
      </w:pPr>
      <w:r>
        <w:rPr>
          <w:rFonts w:hint="eastAsia" w:hAnsi="仿宋"/>
          <w:sz w:val="24"/>
          <w:szCs w:val="24"/>
        </w:rPr>
        <w:t>3）委托代理人只能是一个人，且不能再授予他人，否则比选人将认为其授权无效。</w:t>
      </w:r>
    </w:p>
    <w:p>
      <w:pPr>
        <w:spacing w:line="560" w:lineRule="exact"/>
        <w:ind w:firstLine="480" w:firstLineChars="200"/>
        <w:rPr>
          <w:rFonts w:hAnsi="仿宋"/>
          <w:sz w:val="24"/>
          <w:szCs w:val="24"/>
        </w:rPr>
      </w:pPr>
      <w:r>
        <w:rPr>
          <w:rFonts w:hint="eastAsia" w:hAnsi="仿宋"/>
          <w:sz w:val="24"/>
          <w:szCs w:val="24"/>
        </w:rPr>
        <w:t>4）比选申请人负责人授权书应加盖比选申请人公章，授权人和委托代理人均须在授权书上签字，不得使用签名章代替。</w:t>
      </w:r>
    </w:p>
    <w:p>
      <w:pPr>
        <w:spacing w:line="560" w:lineRule="exact"/>
        <w:ind w:firstLine="480" w:firstLineChars="200"/>
        <w:rPr>
          <w:rFonts w:hAnsi="仿宋"/>
          <w:sz w:val="24"/>
          <w:szCs w:val="24"/>
        </w:rPr>
      </w:pPr>
      <w:r>
        <w:rPr>
          <w:rFonts w:hint="eastAsia" w:hAnsi="仿宋"/>
          <w:sz w:val="24"/>
          <w:szCs w:val="24"/>
        </w:rPr>
        <w:t>5）授权书后须附授权人和委托代理人身份证复印件，并保证清晰有效。</w:t>
      </w:r>
    </w:p>
    <w:p>
      <w:pPr>
        <w:spacing w:line="560" w:lineRule="exact"/>
        <w:ind w:firstLine="480" w:firstLineChars="200"/>
        <w:rPr>
          <w:rFonts w:hAnsi="仿宋"/>
          <w:sz w:val="24"/>
          <w:szCs w:val="24"/>
        </w:rPr>
      </w:pPr>
      <w:r>
        <w:rPr>
          <w:rFonts w:hint="eastAsia" w:hAnsi="仿宋"/>
          <w:sz w:val="24"/>
          <w:szCs w:val="24"/>
        </w:rPr>
        <w:t>（3）比选申请人未按规定的格式填写，内容不完整或关键字迹模糊、无法辨认的；</w:t>
      </w:r>
    </w:p>
    <w:p>
      <w:pPr>
        <w:spacing w:line="560" w:lineRule="exact"/>
        <w:ind w:firstLine="480" w:firstLineChars="200"/>
        <w:rPr>
          <w:rFonts w:hAnsi="仿宋"/>
          <w:sz w:val="24"/>
          <w:szCs w:val="24"/>
        </w:rPr>
      </w:pPr>
      <w:r>
        <w:rPr>
          <w:rFonts w:hint="eastAsia" w:hAnsi="仿宋"/>
          <w:sz w:val="24"/>
          <w:szCs w:val="24"/>
        </w:rPr>
        <w:t>（4）比选申请人递交两份或多份内容不同的比选申请文件，或在一份比选申请文件中对同一比选响应范围报有两个或多个报价，且未声明哪一个为最终报价的；</w:t>
      </w:r>
    </w:p>
    <w:p>
      <w:pPr>
        <w:spacing w:line="560" w:lineRule="exact"/>
        <w:ind w:firstLine="480" w:firstLineChars="200"/>
        <w:rPr>
          <w:rFonts w:hAnsi="仿宋"/>
          <w:sz w:val="24"/>
          <w:szCs w:val="24"/>
        </w:rPr>
      </w:pPr>
      <w:r>
        <w:rPr>
          <w:rFonts w:hint="eastAsia" w:hAnsi="仿宋"/>
          <w:sz w:val="24"/>
          <w:szCs w:val="24"/>
        </w:rPr>
        <w:t>（</w:t>
      </w:r>
      <w:r>
        <w:rPr>
          <w:rFonts w:hint="eastAsia" w:hAnsi="仿宋"/>
          <w:sz w:val="24"/>
          <w:szCs w:val="24"/>
          <w:lang w:val="en-US"/>
        </w:rPr>
        <w:t>5</w:t>
      </w:r>
      <w:r>
        <w:rPr>
          <w:rFonts w:hint="eastAsia" w:hAnsi="仿宋"/>
          <w:sz w:val="24"/>
          <w:szCs w:val="24"/>
        </w:rPr>
        <w:t>）不符合比选文件及相关法律法规中规定的其它实质性要求。</w:t>
      </w:r>
    </w:p>
    <w:p>
      <w:pPr>
        <w:spacing w:line="560" w:lineRule="exact"/>
        <w:ind w:firstLine="480" w:firstLineChars="200"/>
        <w:rPr>
          <w:rFonts w:hAnsi="仿宋"/>
          <w:sz w:val="24"/>
          <w:szCs w:val="24"/>
        </w:rPr>
      </w:pPr>
      <w:r>
        <w:rPr>
          <w:rFonts w:hint="eastAsia" w:hAnsi="仿宋"/>
          <w:sz w:val="24"/>
          <w:szCs w:val="24"/>
        </w:rPr>
        <w:t>如果比选申请文件存在上述重大偏差，比选人将予以拒绝或作为无效比选申请文件处理。比选申请人不得通过修正从而使其比选申请文件成为实际上响应的比选申请文件。</w:t>
      </w:r>
    </w:p>
    <w:p>
      <w:pPr>
        <w:spacing w:line="560" w:lineRule="exact"/>
        <w:ind w:firstLine="480" w:firstLineChars="200"/>
        <w:rPr>
          <w:rFonts w:hAnsi="仿宋"/>
          <w:sz w:val="24"/>
          <w:szCs w:val="24"/>
        </w:rPr>
      </w:pPr>
      <w:r>
        <w:rPr>
          <w:rFonts w:hint="eastAsia" w:hAnsi="仿宋"/>
          <w:sz w:val="24"/>
          <w:szCs w:val="24"/>
        </w:rPr>
        <w:t>3.1.3比选申请人有以下情形之一的，评审小组应当否决其参选：</w:t>
      </w:r>
    </w:p>
    <w:p>
      <w:pPr>
        <w:spacing w:line="560" w:lineRule="exact"/>
        <w:ind w:firstLine="480" w:firstLineChars="200"/>
        <w:rPr>
          <w:rFonts w:hAnsi="仿宋"/>
          <w:sz w:val="24"/>
          <w:szCs w:val="24"/>
        </w:rPr>
      </w:pPr>
      <w:r>
        <w:rPr>
          <w:rFonts w:hint="eastAsia" w:hAnsi="仿宋"/>
          <w:sz w:val="24"/>
          <w:szCs w:val="24"/>
        </w:rPr>
        <w:t>（1）第二章“比选申请人须知”</w:t>
      </w:r>
      <w:r>
        <w:rPr>
          <w:rFonts w:hint="eastAsia"/>
          <w:sz w:val="24"/>
          <w:szCs w:val="24"/>
        </w:rPr>
        <w:t xml:space="preserve"> </w:t>
      </w:r>
      <w:r>
        <w:rPr>
          <w:rFonts w:hint="eastAsia" w:hAnsi="仿宋"/>
          <w:sz w:val="24"/>
          <w:szCs w:val="24"/>
        </w:rPr>
        <w:t>比选申请人不得存在下列情形的任何一种情形的；</w:t>
      </w:r>
    </w:p>
    <w:p>
      <w:pPr>
        <w:spacing w:line="560" w:lineRule="exact"/>
        <w:ind w:firstLine="480" w:firstLineChars="200"/>
        <w:rPr>
          <w:rFonts w:hAnsi="仿宋"/>
          <w:sz w:val="24"/>
          <w:szCs w:val="24"/>
        </w:rPr>
      </w:pPr>
      <w:r>
        <w:rPr>
          <w:rFonts w:hint="eastAsia" w:hAnsi="仿宋"/>
          <w:sz w:val="24"/>
          <w:szCs w:val="24"/>
        </w:rPr>
        <w:t>（2）不按照评审小组要求澄清、说明或者补正的；</w:t>
      </w:r>
    </w:p>
    <w:p>
      <w:pPr>
        <w:spacing w:line="560" w:lineRule="exact"/>
        <w:ind w:firstLine="480" w:firstLineChars="200"/>
        <w:rPr>
          <w:rFonts w:hAnsi="仿宋"/>
          <w:sz w:val="24"/>
          <w:szCs w:val="24"/>
        </w:rPr>
      </w:pPr>
      <w:r>
        <w:rPr>
          <w:rFonts w:hint="eastAsia" w:hAnsi="仿宋"/>
          <w:sz w:val="24"/>
          <w:szCs w:val="24"/>
        </w:rPr>
        <w:t>（3）比选申请文件未按照比选文件要求盖章和签字；</w:t>
      </w:r>
    </w:p>
    <w:p>
      <w:pPr>
        <w:spacing w:line="560" w:lineRule="exact"/>
        <w:ind w:firstLine="480" w:firstLineChars="200"/>
        <w:rPr>
          <w:rFonts w:hAnsi="仿宋"/>
          <w:sz w:val="24"/>
          <w:szCs w:val="24"/>
        </w:rPr>
      </w:pPr>
      <w:r>
        <w:rPr>
          <w:rFonts w:hint="eastAsia" w:hAnsi="仿宋"/>
          <w:sz w:val="24"/>
          <w:szCs w:val="24"/>
        </w:rPr>
        <w:t>（4）允许联合体参选的，参选联合体没有递交共同参选协议；</w:t>
      </w:r>
    </w:p>
    <w:p>
      <w:pPr>
        <w:spacing w:line="560" w:lineRule="exact"/>
        <w:ind w:firstLine="480" w:firstLineChars="200"/>
        <w:rPr>
          <w:rFonts w:hAnsi="仿宋"/>
          <w:sz w:val="24"/>
          <w:szCs w:val="24"/>
        </w:rPr>
      </w:pPr>
      <w:r>
        <w:rPr>
          <w:rFonts w:hint="eastAsia" w:hAnsi="仿宋"/>
          <w:sz w:val="24"/>
          <w:szCs w:val="24"/>
        </w:rPr>
        <w:t>（5）比选申请人不符合国家或者比选文件规定的资格条件；</w:t>
      </w:r>
    </w:p>
    <w:p>
      <w:pPr>
        <w:spacing w:line="560" w:lineRule="exact"/>
        <w:ind w:firstLine="480" w:firstLineChars="200"/>
        <w:rPr>
          <w:rFonts w:hAnsi="仿宋"/>
          <w:sz w:val="24"/>
          <w:szCs w:val="24"/>
        </w:rPr>
      </w:pPr>
      <w:r>
        <w:rPr>
          <w:rFonts w:hint="eastAsia" w:hAnsi="仿宋"/>
          <w:sz w:val="24"/>
          <w:szCs w:val="24"/>
        </w:rPr>
        <w:t>（6）同一比选申请人递交两个以上不同的比选申请文件或者参选报价，但比选申请文件要求递交备选参选方案的除外；</w:t>
      </w:r>
    </w:p>
    <w:p>
      <w:pPr>
        <w:spacing w:line="560" w:lineRule="exact"/>
        <w:ind w:firstLine="480" w:firstLineChars="200"/>
        <w:rPr>
          <w:rFonts w:hAnsi="仿宋"/>
          <w:sz w:val="24"/>
          <w:szCs w:val="24"/>
        </w:rPr>
      </w:pPr>
      <w:r>
        <w:rPr>
          <w:rFonts w:hint="eastAsia" w:hAnsi="仿宋"/>
          <w:sz w:val="24"/>
          <w:szCs w:val="24"/>
        </w:rPr>
        <w:t>（7）参选报价低于成本或者高于比选文件设定的最高参选限价；</w:t>
      </w:r>
    </w:p>
    <w:p>
      <w:pPr>
        <w:spacing w:line="560" w:lineRule="exact"/>
        <w:ind w:firstLine="480" w:firstLineChars="200"/>
        <w:rPr>
          <w:rFonts w:hAnsi="仿宋"/>
          <w:sz w:val="24"/>
          <w:szCs w:val="24"/>
        </w:rPr>
      </w:pPr>
      <w:r>
        <w:rPr>
          <w:rFonts w:hint="eastAsia" w:hAnsi="仿宋"/>
          <w:sz w:val="24"/>
          <w:szCs w:val="24"/>
        </w:rPr>
        <w:t>（8）比选申请文件没有对比选文件的实质性要求和条件做出响应；</w:t>
      </w:r>
    </w:p>
    <w:p>
      <w:pPr>
        <w:spacing w:line="560" w:lineRule="exact"/>
        <w:ind w:firstLine="480" w:firstLineChars="200"/>
        <w:rPr>
          <w:rFonts w:hAnsi="仿宋"/>
          <w:sz w:val="24"/>
          <w:szCs w:val="24"/>
        </w:rPr>
      </w:pPr>
      <w:r>
        <w:rPr>
          <w:rFonts w:hint="eastAsia" w:hAnsi="仿宋"/>
          <w:sz w:val="24"/>
          <w:szCs w:val="24"/>
        </w:rPr>
        <w:t>（9）比选申请人有串通参选、弄虚作假、行贿等违法行为；</w:t>
      </w:r>
    </w:p>
    <w:p>
      <w:pPr>
        <w:spacing w:line="560" w:lineRule="exact"/>
        <w:ind w:firstLine="480" w:firstLineChars="200"/>
        <w:rPr>
          <w:rFonts w:hAnsi="仿宋"/>
          <w:sz w:val="24"/>
          <w:szCs w:val="24"/>
        </w:rPr>
      </w:pPr>
      <w:r>
        <w:rPr>
          <w:rFonts w:hint="eastAsia" w:hAnsi="仿宋"/>
          <w:sz w:val="24"/>
          <w:szCs w:val="24"/>
        </w:rPr>
        <w:t>（10）比选申请人以他人名义参选；</w:t>
      </w:r>
    </w:p>
    <w:p>
      <w:pPr>
        <w:spacing w:line="560" w:lineRule="exact"/>
        <w:ind w:firstLine="480" w:firstLineChars="200"/>
        <w:rPr>
          <w:rFonts w:hAnsi="仿宋"/>
          <w:sz w:val="24"/>
          <w:szCs w:val="24"/>
        </w:rPr>
      </w:pPr>
      <w:r>
        <w:rPr>
          <w:rFonts w:hint="eastAsia" w:hAnsi="仿宋"/>
          <w:sz w:val="24"/>
          <w:szCs w:val="24"/>
        </w:rPr>
        <w:t>（11）没有按照比选文件要求提供比选担保或者所提供的参选担保有瑕疵；</w:t>
      </w:r>
    </w:p>
    <w:p>
      <w:pPr>
        <w:spacing w:line="560" w:lineRule="exact"/>
        <w:ind w:firstLine="480" w:firstLineChars="200"/>
        <w:rPr>
          <w:rFonts w:hAnsi="仿宋"/>
          <w:sz w:val="24"/>
          <w:szCs w:val="24"/>
        </w:rPr>
      </w:pPr>
      <w:r>
        <w:rPr>
          <w:rFonts w:hint="eastAsia" w:hAnsi="仿宋"/>
          <w:sz w:val="24"/>
          <w:szCs w:val="24"/>
        </w:rPr>
        <w:t>（12）比选申请文件载明的比选项目完成期限超过比选文件规定的期限；</w:t>
      </w:r>
    </w:p>
    <w:p>
      <w:pPr>
        <w:spacing w:line="560" w:lineRule="exact"/>
        <w:ind w:firstLine="480" w:firstLineChars="200"/>
        <w:rPr>
          <w:rFonts w:hAnsi="仿宋"/>
          <w:sz w:val="24"/>
          <w:szCs w:val="24"/>
        </w:rPr>
      </w:pPr>
      <w:r>
        <w:rPr>
          <w:rFonts w:hint="eastAsia" w:hAnsi="仿宋"/>
          <w:sz w:val="24"/>
          <w:szCs w:val="24"/>
        </w:rPr>
        <w:t>（13）明显不符合技术规格、技术标准的要求；</w:t>
      </w:r>
    </w:p>
    <w:p>
      <w:pPr>
        <w:spacing w:line="560" w:lineRule="exact"/>
        <w:ind w:firstLine="480" w:firstLineChars="200"/>
        <w:rPr>
          <w:rFonts w:hAnsi="仿宋"/>
          <w:sz w:val="24"/>
          <w:szCs w:val="24"/>
        </w:rPr>
      </w:pPr>
      <w:r>
        <w:rPr>
          <w:rFonts w:hint="eastAsia" w:hAnsi="仿宋"/>
          <w:sz w:val="24"/>
          <w:szCs w:val="24"/>
        </w:rPr>
        <w:t>（14）比选申请文件载明的货物包装方式、检验标准和方法等不符合比选文件的要求；</w:t>
      </w:r>
    </w:p>
    <w:p>
      <w:pPr>
        <w:spacing w:line="560" w:lineRule="exact"/>
        <w:ind w:firstLine="480" w:firstLineChars="200"/>
        <w:rPr>
          <w:rFonts w:hAnsi="仿宋"/>
          <w:sz w:val="24"/>
          <w:szCs w:val="24"/>
        </w:rPr>
      </w:pPr>
      <w:r>
        <w:rPr>
          <w:rFonts w:hint="eastAsia" w:hAnsi="仿宋"/>
          <w:sz w:val="24"/>
          <w:szCs w:val="24"/>
        </w:rPr>
        <w:t>（15）比选申请文件附有比选人不能接受的条件；</w:t>
      </w:r>
    </w:p>
    <w:p>
      <w:pPr>
        <w:spacing w:line="560" w:lineRule="exact"/>
        <w:ind w:firstLine="480" w:firstLineChars="200"/>
        <w:rPr>
          <w:rFonts w:hAnsi="仿宋"/>
          <w:sz w:val="24"/>
          <w:szCs w:val="24"/>
        </w:rPr>
      </w:pPr>
      <w:r>
        <w:rPr>
          <w:rFonts w:hint="eastAsia" w:hAnsi="仿宋"/>
          <w:sz w:val="24"/>
          <w:szCs w:val="24"/>
        </w:rPr>
        <w:t>（16）不符合比选文件中规定的其他实质性要求。</w:t>
      </w:r>
    </w:p>
    <w:p>
      <w:pPr>
        <w:spacing w:line="560" w:lineRule="exact"/>
        <w:ind w:firstLine="480" w:firstLineChars="200"/>
        <w:rPr>
          <w:rFonts w:hAnsi="仿宋"/>
          <w:sz w:val="24"/>
          <w:szCs w:val="24"/>
        </w:rPr>
      </w:pPr>
      <w:r>
        <w:rPr>
          <w:rFonts w:hint="eastAsia" w:hAnsi="仿宋"/>
          <w:sz w:val="24"/>
          <w:szCs w:val="24"/>
        </w:rPr>
        <w:t>3.1.4评审过程中，评审小组收到低于成本价参选的书面质疑材料、发现比选申请人的综合报价明显低于其他参选报价或者设有标底时明显低于标底，认为参选报价可能低于其个别成本的，应当书面要求该比选申请人做出书面说明并提供相关证明材料。比选申请人不能合理说明或者不能提供相应证明材料的，由评审小组认定该比选申请人以低于成本报价参选，评审小组应当否决其参选。</w:t>
      </w:r>
    </w:p>
    <w:p>
      <w:pPr>
        <w:spacing w:line="560" w:lineRule="exact"/>
        <w:ind w:firstLine="480" w:firstLineChars="200"/>
        <w:rPr>
          <w:rFonts w:hAnsi="仿宋"/>
          <w:sz w:val="24"/>
          <w:szCs w:val="24"/>
        </w:rPr>
      </w:pPr>
      <w:r>
        <w:rPr>
          <w:rFonts w:hint="eastAsia" w:hAnsi="仿宋"/>
          <w:sz w:val="24"/>
          <w:szCs w:val="24"/>
        </w:rPr>
        <w:t>3.1.5参选报价有算术错误的，评审小组按照以下原则对参选报价进行修正，修正的价格经比选申请人书面确认后具有约束力。比选申请人不接受修正价格的，评审小组应当否决其参选。</w:t>
      </w:r>
    </w:p>
    <w:p>
      <w:pPr>
        <w:spacing w:line="560" w:lineRule="exact"/>
        <w:ind w:firstLine="480" w:firstLineChars="200"/>
        <w:rPr>
          <w:rFonts w:hAnsi="仿宋"/>
          <w:sz w:val="24"/>
          <w:szCs w:val="24"/>
        </w:rPr>
      </w:pPr>
      <w:r>
        <w:rPr>
          <w:rFonts w:hint="eastAsia" w:hAnsi="仿宋"/>
          <w:sz w:val="24"/>
          <w:szCs w:val="24"/>
        </w:rPr>
        <w:t>（1）比选申请文件中的大写金额与小写金额不一致的，以大写金额为准；</w:t>
      </w:r>
    </w:p>
    <w:p>
      <w:pPr>
        <w:spacing w:line="560" w:lineRule="exact"/>
        <w:ind w:firstLine="480" w:firstLineChars="200"/>
        <w:rPr>
          <w:rFonts w:hAnsi="仿宋"/>
          <w:sz w:val="24"/>
          <w:szCs w:val="24"/>
        </w:rPr>
      </w:pPr>
      <w:r>
        <w:rPr>
          <w:rFonts w:hint="eastAsia" w:hAnsi="仿宋"/>
          <w:sz w:val="24"/>
          <w:szCs w:val="24"/>
        </w:rPr>
        <w:t>（2）总价金额与根据单价计算出的结果不一致的，以单价金额为准修正总价，但单价金额小数点有明显错误的除外。</w:t>
      </w:r>
    </w:p>
    <w:p>
      <w:pPr>
        <w:spacing w:line="560" w:lineRule="exact"/>
        <w:ind w:firstLine="482" w:firstLineChars="200"/>
        <w:rPr>
          <w:rFonts w:hAnsi="仿宋"/>
          <w:b/>
          <w:sz w:val="24"/>
          <w:szCs w:val="24"/>
        </w:rPr>
      </w:pPr>
      <w:r>
        <w:rPr>
          <w:rFonts w:hint="eastAsia" w:hAnsi="仿宋"/>
          <w:b/>
          <w:sz w:val="24"/>
          <w:szCs w:val="24"/>
        </w:rPr>
        <w:t>3.2详细评审</w:t>
      </w:r>
    </w:p>
    <w:p>
      <w:pPr>
        <w:spacing w:line="560" w:lineRule="exact"/>
        <w:ind w:firstLine="480" w:firstLineChars="200"/>
        <w:rPr>
          <w:rFonts w:hAnsi="仿宋"/>
          <w:sz w:val="24"/>
          <w:szCs w:val="24"/>
        </w:rPr>
      </w:pPr>
      <w:r>
        <w:rPr>
          <w:rFonts w:hint="eastAsia" w:hAnsi="仿宋"/>
          <w:sz w:val="24"/>
          <w:szCs w:val="24"/>
        </w:rPr>
        <w:t>3.2.1评审小组按照本章第2.2款规定的评审因素和量化标准进行评分，并计算出综合评估得分。</w:t>
      </w:r>
    </w:p>
    <w:p>
      <w:pPr>
        <w:spacing w:line="560" w:lineRule="exact"/>
        <w:ind w:firstLine="480" w:firstLineChars="200"/>
        <w:rPr>
          <w:rFonts w:hAnsi="仿宋"/>
          <w:sz w:val="24"/>
          <w:szCs w:val="24"/>
        </w:rPr>
      </w:pPr>
      <w:r>
        <w:rPr>
          <w:rFonts w:hint="eastAsia" w:hAnsi="仿宋"/>
          <w:sz w:val="24"/>
          <w:szCs w:val="24"/>
        </w:rPr>
        <w:t>3.2.2评分分值计算原则上保留小数点后两位，小数点后第三位“四舍五入”。</w:t>
      </w:r>
    </w:p>
    <w:p>
      <w:pPr>
        <w:spacing w:line="560" w:lineRule="exact"/>
        <w:ind w:firstLine="480" w:firstLineChars="200"/>
        <w:rPr>
          <w:rFonts w:hAnsi="仿宋"/>
          <w:sz w:val="24"/>
          <w:szCs w:val="24"/>
        </w:rPr>
      </w:pPr>
      <w:r>
        <w:rPr>
          <w:rFonts w:hint="eastAsia" w:hAnsi="仿宋"/>
          <w:sz w:val="24"/>
          <w:szCs w:val="24"/>
        </w:rPr>
        <w:t>3.3.3评审小组成员只能按以下确定的评分项目、内容、要求进行评分，不能另行列项，否则视为废票；</w:t>
      </w:r>
    </w:p>
    <w:p>
      <w:pPr>
        <w:spacing w:line="560" w:lineRule="exact"/>
        <w:ind w:firstLine="480" w:firstLineChars="200"/>
        <w:rPr>
          <w:rFonts w:hAnsi="仿宋"/>
          <w:sz w:val="24"/>
          <w:szCs w:val="24"/>
        </w:rPr>
      </w:pPr>
      <w:r>
        <w:rPr>
          <w:rFonts w:hint="eastAsia" w:hAnsi="仿宋"/>
          <w:sz w:val="24"/>
          <w:szCs w:val="24"/>
        </w:rPr>
        <w:t>3.3.4评分由评审小组成员在充分讨论、沟通的基础上，各自独立进行；</w:t>
      </w:r>
    </w:p>
    <w:p>
      <w:pPr>
        <w:spacing w:line="560" w:lineRule="exact"/>
        <w:ind w:firstLine="480" w:firstLineChars="200"/>
        <w:rPr>
          <w:sz w:val="24"/>
          <w:szCs w:val="24"/>
        </w:rPr>
      </w:pPr>
      <w:r>
        <w:rPr>
          <w:rFonts w:hint="eastAsia" w:hAnsi="仿宋"/>
          <w:sz w:val="24"/>
          <w:szCs w:val="24"/>
        </w:rPr>
        <w:t>3.3.5评分以记名方式进行。</w:t>
      </w:r>
    </w:p>
    <w:p>
      <w:pPr>
        <w:spacing w:line="560" w:lineRule="exact"/>
        <w:ind w:firstLine="482" w:firstLineChars="200"/>
        <w:rPr>
          <w:rFonts w:hAnsi="仿宋"/>
          <w:b/>
          <w:sz w:val="24"/>
          <w:szCs w:val="24"/>
        </w:rPr>
      </w:pPr>
      <w:r>
        <w:rPr>
          <w:rFonts w:hint="eastAsia" w:hAnsi="仿宋"/>
          <w:b/>
          <w:sz w:val="24"/>
          <w:szCs w:val="24"/>
        </w:rPr>
        <w:t>3.3比选申请文件的澄清</w:t>
      </w:r>
    </w:p>
    <w:p>
      <w:pPr>
        <w:spacing w:line="560" w:lineRule="exact"/>
        <w:ind w:firstLine="480" w:firstLineChars="200"/>
        <w:rPr>
          <w:rFonts w:hAnsi="仿宋"/>
          <w:sz w:val="24"/>
          <w:szCs w:val="24"/>
        </w:rPr>
      </w:pPr>
      <w:r>
        <w:rPr>
          <w:rFonts w:hint="eastAsia" w:hAnsi="仿宋"/>
          <w:sz w:val="24"/>
          <w:szCs w:val="24"/>
        </w:rPr>
        <w:t>3.3.1在评审过程中，评审小组应当以书面形式要求比选申请人对所递交的比选申请文件中不明确的内容进行书面澄清、说明或者对比选申请文件中的细微偏差进行补正。评审小组不接受比选申请人主动提出的澄清、说明或者补正。</w:t>
      </w:r>
    </w:p>
    <w:p>
      <w:pPr>
        <w:spacing w:line="560" w:lineRule="exact"/>
        <w:ind w:firstLine="480" w:firstLineChars="200"/>
        <w:rPr>
          <w:rFonts w:hAnsi="仿宋"/>
          <w:sz w:val="24"/>
          <w:szCs w:val="24"/>
        </w:rPr>
      </w:pPr>
      <w:r>
        <w:rPr>
          <w:rFonts w:hint="eastAsia" w:hAnsi="仿宋"/>
          <w:sz w:val="24"/>
          <w:szCs w:val="24"/>
        </w:rPr>
        <w:t>3.3.2细微偏差是指比选申请文件在实质上响应比选文件要求，但个别地方存在漏项或者提供了不完整的技术信息和数据等情况，并且补正这些遗漏或者不完整不会对其他比选申请人造成不公平的结果。细微偏差不影响比选申请文件的有效性。</w:t>
      </w:r>
    </w:p>
    <w:p>
      <w:pPr>
        <w:spacing w:line="560" w:lineRule="exact"/>
        <w:ind w:firstLine="480" w:firstLineChars="200"/>
        <w:rPr>
          <w:rFonts w:hAnsi="仿宋"/>
          <w:sz w:val="24"/>
          <w:szCs w:val="24"/>
        </w:rPr>
      </w:pPr>
      <w:r>
        <w:rPr>
          <w:rFonts w:hint="eastAsia" w:hAnsi="仿宋"/>
          <w:sz w:val="24"/>
          <w:szCs w:val="24"/>
        </w:rPr>
        <w:t>3.3.3澄清、说明和补正不得改变比选申请文件的实质性内容（算术性错误修正的除外）。比选申请人的书面澄清、说明和补正属于比选申请文件的组成部分。</w:t>
      </w:r>
    </w:p>
    <w:p>
      <w:pPr>
        <w:spacing w:line="560" w:lineRule="exact"/>
        <w:ind w:firstLine="480" w:firstLineChars="200"/>
        <w:rPr>
          <w:rFonts w:hAnsi="仿宋"/>
          <w:sz w:val="24"/>
          <w:szCs w:val="24"/>
        </w:rPr>
      </w:pPr>
      <w:r>
        <w:rPr>
          <w:rFonts w:hint="eastAsia" w:hAnsi="仿宋"/>
          <w:sz w:val="24"/>
          <w:szCs w:val="24"/>
        </w:rPr>
        <w:t>3.3.4评审小组对比选申请人递交的澄清、说明或者补正有疑问的，可以要求比选申请人进一步澄清、说明或者补正，直至满足评审小组的要求。</w:t>
      </w:r>
    </w:p>
    <w:p>
      <w:pPr>
        <w:spacing w:line="560" w:lineRule="exact"/>
        <w:ind w:firstLine="480" w:firstLineChars="200"/>
        <w:rPr>
          <w:rFonts w:hAnsi="仿宋"/>
          <w:sz w:val="24"/>
          <w:szCs w:val="24"/>
        </w:rPr>
      </w:pPr>
      <w:r>
        <w:rPr>
          <w:rFonts w:hint="eastAsia" w:hAnsi="仿宋"/>
          <w:sz w:val="24"/>
          <w:szCs w:val="24"/>
        </w:rPr>
        <w:t>3.3.5评审小组必要时可以要求比选申请人递交有关证明和证件的原件，以便核验。</w:t>
      </w:r>
    </w:p>
    <w:p>
      <w:pPr>
        <w:spacing w:line="560" w:lineRule="exact"/>
        <w:ind w:firstLine="482" w:firstLineChars="200"/>
        <w:rPr>
          <w:rFonts w:hAnsi="仿宋"/>
          <w:b/>
          <w:sz w:val="24"/>
          <w:szCs w:val="24"/>
        </w:rPr>
      </w:pPr>
      <w:r>
        <w:rPr>
          <w:rFonts w:hint="eastAsia" w:hAnsi="仿宋"/>
          <w:b/>
          <w:sz w:val="24"/>
          <w:szCs w:val="24"/>
        </w:rPr>
        <w:t>3.4中选候选人推荐原则</w:t>
      </w:r>
    </w:p>
    <w:p>
      <w:pPr>
        <w:spacing w:line="560" w:lineRule="exact"/>
        <w:ind w:firstLine="480" w:firstLineChars="200"/>
        <w:rPr>
          <w:rFonts w:hAnsi="仿宋"/>
          <w:sz w:val="24"/>
          <w:szCs w:val="24"/>
        </w:rPr>
      </w:pPr>
      <w:r>
        <w:rPr>
          <w:rFonts w:hint="eastAsia" w:hAnsi="仿宋"/>
          <w:sz w:val="24"/>
          <w:szCs w:val="24"/>
        </w:rPr>
        <w:t>3.4.1评审小组按照综合评分由高到低的顺序推荐中选候选人。综合评分相同的，处理原则见评审办法前附表。</w:t>
      </w:r>
    </w:p>
    <w:p>
      <w:pPr>
        <w:spacing w:line="560" w:lineRule="exact"/>
        <w:ind w:firstLine="480" w:firstLineChars="200"/>
        <w:rPr>
          <w:rFonts w:hAnsi="仿宋"/>
          <w:sz w:val="24"/>
          <w:szCs w:val="24"/>
        </w:rPr>
      </w:pPr>
      <w:r>
        <w:rPr>
          <w:rFonts w:hint="eastAsia" w:hAnsi="仿宋"/>
          <w:sz w:val="24"/>
          <w:szCs w:val="24"/>
        </w:rPr>
        <w:t>3.4.2中选候选人推荐原则见评审办法前附表。</w:t>
      </w:r>
    </w:p>
    <w:p>
      <w:pPr>
        <w:spacing w:line="560" w:lineRule="exact"/>
        <w:ind w:firstLine="482" w:firstLineChars="200"/>
        <w:rPr>
          <w:rFonts w:hAnsi="仿宋"/>
          <w:b/>
          <w:sz w:val="24"/>
          <w:szCs w:val="24"/>
        </w:rPr>
      </w:pPr>
      <w:r>
        <w:rPr>
          <w:rFonts w:hint="eastAsia" w:hAnsi="仿宋"/>
          <w:b/>
          <w:sz w:val="24"/>
          <w:szCs w:val="24"/>
        </w:rPr>
        <w:t>3.5评审结果</w:t>
      </w:r>
    </w:p>
    <w:p>
      <w:pPr>
        <w:spacing w:line="560" w:lineRule="exact"/>
        <w:ind w:firstLine="480" w:firstLineChars="200"/>
        <w:rPr>
          <w:rFonts w:hAnsi="宋体"/>
          <w:sz w:val="24"/>
          <w:szCs w:val="24"/>
        </w:rPr>
      </w:pPr>
      <w:r>
        <w:rPr>
          <w:rFonts w:hint="eastAsia" w:hAnsi="仿宋"/>
          <w:sz w:val="24"/>
          <w:szCs w:val="24"/>
        </w:rPr>
        <w:t>3.5.1评审小组完成评审后，应当向比选人递交书面评审报告。评审小组分组评审的，应当形成统一、完整的评审报告。</w:t>
      </w:r>
      <w:bookmarkEnd w:id="16"/>
    </w:p>
    <w:p>
      <w:pPr>
        <w:spacing w:after="160" w:line="0" w:lineRule="atLeast"/>
        <w:rPr>
          <w:rFonts w:hAnsi="仿宋"/>
          <w:b/>
          <w:color w:val="000000"/>
          <w:sz w:val="28"/>
          <w:szCs w:val="28"/>
        </w:rPr>
        <w:sectPr>
          <w:pgSz w:w="11906" w:h="16838"/>
          <w:pgMar w:top="1928" w:right="1531" w:bottom="1928" w:left="1531" w:header="851" w:footer="992" w:gutter="0"/>
          <w:cols w:space="720" w:num="1"/>
          <w:docGrid w:type="lines" w:linePitch="317" w:charSpace="0"/>
        </w:sectPr>
      </w:pPr>
    </w:p>
    <w:p>
      <w:pPr>
        <w:pStyle w:val="3"/>
        <w:rPr>
          <w:rFonts w:ascii="仿宋_GB2312"/>
        </w:rPr>
      </w:pPr>
      <w:bookmarkStart w:id="21" w:name="_Toc127778964"/>
      <w:r>
        <w:rPr>
          <w:rFonts w:hint="eastAsia" w:ascii="仿宋_GB2312"/>
        </w:rPr>
        <w:t>第五章 比选申请文件格式</w:t>
      </w:r>
      <w:bookmarkEnd w:id="14"/>
      <w:bookmarkEnd w:id="15"/>
      <w:bookmarkEnd w:id="21"/>
    </w:p>
    <w:p>
      <w:pPr>
        <w:spacing w:after="160"/>
        <w:rPr>
          <w:b/>
          <w:color w:val="000000"/>
          <w:sz w:val="28"/>
          <w:szCs w:val="28"/>
        </w:rPr>
      </w:pPr>
    </w:p>
    <w:p>
      <w:pPr>
        <w:pStyle w:val="2"/>
        <w:jc w:val="center"/>
        <w:rPr>
          <w:rFonts w:eastAsiaTheme="minorEastAsia"/>
        </w:rPr>
      </w:pPr>
    </w:p>
    <w:p>
      <w:pPr>
        <w:spacing w:after="160"/>
        <w:jc w:val="center"/>
        <w:rPr>
          <w:rFonts w:hAnsi="仿宋"/>
          <w:b/>
          <w:color w:val="000000"/>
          <w:sz w:val="44"/>
          <w:szCs w:val="28"/>
        </w:rPr>
      </w:pPr>
      <w:r>
        <w:rPr>
          <w:rFonts w:hint="eastAsia" w:hAnsi="仿宋"/>
          <w:b/>
          <w:color w:val="000000"/>
          <w:sz w:val="44"/>
          <w:szCs w:val="28"/>
        </w:rPr>
        <w:t>（项目名称）</w:t>
      </w:r>
    </w:p>
    <w:p>
      <w:pPr>
        <w:spacing w:after="160"/>
        <w:jc w:val="center"/>
        <w:rPr>
          <w:rFonts w:hAnsi="仿宋"/>
          <w:b/>
          <w:color w:val="000000"/>
          <w:sz w:val="44"/>
          <w:szCs w:val="28"/>
        </w:rPr>
      </w:pPr>
      <w:r>
        <w:rPr>
          <w:rFonts w:hint="eastAsia" w:hAnsi="仿宋"/>
          <w:b/>
          <w:color w:val="000000"/>
          <w:sz w:val="44"/>
          <w:szCs w:val="28"/>
        </w:rPr>
        <w:t>（标段X</w:t>
      </w:r>
      <w:r>
        <w:rPr>
          <w:rFonts w:hAnsi="仿宋"/>
          <w:b/>
          <w:color w:val="000000"/>
          <w:sz w:val="44"/>
          <w:szCs w:val="28"/>
        </w:rPr>
        <w:t>X</w:t>
      </w:r>
      <w:r>
        <w:rPr>
          <w:rFonts w:hint="eastAsia" w:hAnsi="仿宋"/>
          <w:b/>
          <w:color w:val="000000"/>
          <w:sz w:val="44"/>
          <w:szCs w:val="28"/>
        </w:rPr>
        <w:t>）</w:t>
      </w:r>
    </w:p>
    <w:p>
      <w:pPr>
        <w:pStyle w:val="2"/>
        <w:jc w:val="center"/>
        <w:rPr>
          <w:rFonts w:eastAsiaTheme="minorEastAsia"/>
        </w:rPr>
      </w:pPr>
    </w:p>
    <w:p>
      <w:pPr>
        <w:pStyle w:val="2"/>
        <w:jc w:val="center"/>
        <w:rPr>
          <w:rFonts w:eastAsiaTheme="minorEastAsia"/>
        </w:rPr>
      </w:pPr>
    </w:p>
    <w:p>
      <w:pPr>
        <w:spacing w:after="160"/>
        <w:jc w:val="center"/>
        <w:rPr>
          <w:rFonts w:hAnsi="仿宋"/>
          <w:b/>
          <w:color w:val="000000"/>
          <w:sz w:val="44"/>
          <w:szCs w:val="28"/>
        </w:rPr>
      </w:pPr>
      <w:r>
        <w:rPr>
          <w:rFonts w:hint="eastAsia" w:hAnsi="仿宋"/>
          <w:b/>
          <w:color w:val="000000"/>
          <w:sz w:val="44"/>
          <w:szCs w:val="28"/>
        </w:rPr>
        <w:t>比</w:t>
      </w:r>
    </w:p>
    <w:p>
      <w:pPr>
        <w:spacing w:after="160"/>
        <w:jc w:val="center"/>
        <w:rPr>
          <w:rFonts w:hAnsi="仿宋"/>
          <w:b/>
          <w:color w:val="000000"/>
          <w:sz w:val="44"/>
          <w:szCs w:val="28"/>
        </w:rPr>
      </w:pPr>
      <w:r>
        <w:rPr>
          <w:rFonts w:hint="eastAsia" w:hAnsi="仿宋"/>
          <w:b/>
          <w:color w:val="000000"/>
          <w:sz w:val="44"/>
          <w:szCs w:val="28"/>
        </w:rPr>
        <w:t>选</w:t>
      </w:r>
    </w:p>
    <w:p>
      <w:pPr>
        <w:spacing w:after="160"/>
        <w:jc w:val="center"/>
        <w:rPr>
          <w:rFonts w:hAnsi="仿宋"/>
          <w:b/>
          <w:color w:val="000000"/>
          <w:sz w:val="44"/>
          <w:szCs w:val="28"/>
        </w:rPr>
      </w:pPr>
      <w:r>
        <w:rPr>
          <w:rFonts w:hint="eastAsia" w:hAnsi="仿宋"/>
          <w:b/>
          <w:color w:val="000000"/>
          <w:sz w:val="44"/>
          <w:szCs w:val="28"/>
        </w:rPr>
        <w:t>申</w:t>
      </w:r>
    </w:p>
    <w:p>
      <w:pPr>
        <w:spacing w:after="160"/>
        <w:jc w:val="center"/>
        <w:rPr>
          <w:rFonts w:hAnsi="仿宋"/>
          <w:b/>
          <w:color w:val="000000"/>
          <w:sz w:val="44"/>
          <w:szCs w:val="28"/>
        </w:rPr>
      </w:pPr>
      <w:r>
        <w:rPr>
          <w:rFonts w:hint="eastAsia" w:hAnsi="仿宋"/>
          <w:b/>
          <w:color w:val="000000"/>
          <w:sz w:val="44"/>
          <w:szCs w:val="28"/>
        </w:rPr>
        <w:t>请</w:t>
      </w:r>
    </w:p>
    <w:p>
      <w:pPr>
        <w:spacing w:after="160"/>
        <w:jc w:val="center"/>
        <w:rPr>
          <w:rFonts w:hAnsi="仿宋"/>
          <w:b/>
          <w:color w:val="000000"/>
          <w:sz w:val="44"/>
          <w:szCs w:val="28"/>
        </w:rPr>
      </w:pPr>
      <w:r>
        <w:rPr>
          <w:rFonts w:hint="eastAsia" w:hAnsi="仿宋"/>
          <w:b/>
          <w:color w:val="000000"/>
          <w:sz w:val="44"/>
          <w:szCs w:val="28"/>
        </w:rPr>
        <w:t>文</w:t>
      </w:r>
    </w:p>
    <w:p>
      <w:pPr>
        <w:spacing w:after="160"/>
        <w:jc w:val="center"/>
        <w:rPr>
          <w:rFonts w:hAnsi="仿宋"/>
          <w:b/>
          <w:color w:val="000000"/>
          <w:sz w:val="44"/>
          <w:szCs w:val="28"/>
        </w:rPr>
      </w:pPr>
      <w:r>
        <w:rPr>
          <w:rFonts w:hint="eastAsia" w:hAnsi="仿宋"/>
          <w:b/>
          <w:color w:val="000000"/>
          <w:sz w:val="44"/>
          <w:szCs w:val="28"/>
        </w:rPr>
        <w:t>件</w:t>
      </w:r>
    </w:p>
    <w:p>
      <w:pPr>
        <w:spacing w:after="160" w:line="360" w:lineRule="auto"/>
        <w:jc w:val="center"/>
        <w:rPr>
          <w:rFonts w:hAnsi="仿宋"/>
          <w:b/>
          <w:color w:val="000000"/>
          <w:sz w:val="44"/>
          <w:szCs w:val="28"/>
        </w:rPr>
      </w:pPr>
    </w:p>
    <w:p>
      <w:pPr>
        <w:spacing w:after="160" w:line="360" w:lineRule="auto"/>
        <w:jc w:val="center"/>
        <w:rPr>
          <w:rFonts w:hAnsi="仿宋"/>
          <w:b/>
          <w:color w:val="000000"/>
          <w:sz w:val="32"/>
          <w:szCs w:val="28"/>
        </w:rPr>
      </w:pPr>
      <w:r>
        <w:rPr>
          <w:rFonts w:hint="eastAsia" w:hAnsi="仿宋"/>
          <w:b/>
          <w:color w:val="000000"/>
          <w:sz w:val="32"/>
          <w:szCs w:val="28"/>
        </w:rPr>
        <w:t>比选申请人：XXX（盖章）</w:t>
      </w:r>
    </w:p>
    <w:p>
      <w:pPr>
        <w:spacing w:after="160" w:line="360" w:lineRule="auto"/>
        <w:jc w:val="center"/>
        <w:rPr>
          <w:rFonts w:hAnsi="仿宋"/>
          <w:b/>
          <w:color w:val="000000"/>
          <w:sz w:val="32"/>
          <w:szCs w:val="28"/>
        </w:rPr>
        <w:sectPr>
          <w:pgSz w:w="11906" w:h="16838"/>
          <w:pgMar w:top="1928" w:right="1531" w:bottom="1928" w:left="1531" w:header="851" w:footer="992" w:gutter="0"/>
          <w:cols w:space="720" w:num="1"/>
          <w:docGrid w:type="lines" w:linePitch="317" w:charSpace="0"/>
        </w:sectPr>
      </w:pPr>
      <w:r>
        <w:rPr>
          <w:rFonts w:hint="eastAsia" w:hAnsi="仿宋"/>
          <w:b/>
          <w:color w:val="000000"/>
          <w:sz w:val="32"/>
          <w:szCs w:val="28"/>
        </w:rPr>
        <w:t>XX年XX月XX日</w:t>
      </w:r>
    </w:p>
    <w:p>
      <w:pPr>
        <w:pStyle w:val="4"/>
        <w:rPr>
          <w:rFonts w:ascii="仿宋_GB2312"/>
        </w:rPr>
      </w:pPr>
      <w:r>
        <w:rPr>
          <w:rFonts w:hint="eastAsia" w:ascii="仿宋_GB2312"/>
        </w:rPr>
        <w:t>一、比选申请书</w:t>
      </w:r>
    </w:p>
    <w:p>
      <w:pPr>
        <w:wordWrap w:val="0"/>
        <w:spacing w:line="560" w:lineRule="exact"/>
        <w:ind w:firstLine="480" w:firstLineChars="200"/>
        <w:rPr>
          <w:rFonts w:hAnsi="仿宋"/>
          <w:sz w:val="24"/>
          <w:szCs w:val="28"/>
        </w:rPr>
      </w:pPr>
      <w:r>
        <w:rPr>
          <w:rFonts w:hint="eastAsia" w:hAnsi="仿宋"/>
          <w:sz w:val="24"/>
          <w:szCs w:val="28"/>
        </w:rPr>
        <w:t>致：</w:t>
      </w:r>
      <w:r>
        <w:rPr>
          <w:rFonts w:hint="eastAsia" w:hAnsi="宋体" w:cs="宋体"/>
          <w:bCs/>
          <w:color w:val="000000"/>
          <w:sz w:val="24"/>
          <w:szCs w:val="28"/>
          <w:lang w:val="en-US" w:bidi="ar-SA"/>
        </w:rPr>
        <w:t>四川蜀道物流集团有限公司、渠县蜀物致远物流发展有限公司</w:t>
      </w:r>
    </w:p>
    <w:p>
      <w:pPr>
        <w:wordWrap w:val="0"/>
        <w:spacing w:line="560" w:lineRule="exact"/>
        <w:ind w:firstLine="480" w:firstLineChars="200"/>
        <w:rPr>
          <w:rFonts w:hAnsi="仿宋"/>
          <w:sz w:val="24"/>
          <w:szCs w:val="28"/>
        </w:rPr>
      </w:pPr>
      <w:r>
        <w:rPr>
          <w:rFonts w:hint="eastAsia" w:hAnsi="仿宋"/>
          <w:sz w:val="24"/>
          <w:szCs w:val="28"/>
        </w:rPr>
        <w:t>我方：</w:t>
      </w:r>
      <w:r>
        <w:rPr>
          <w:rFonts w:hint="eastAsia" w:hAnsi="仿宋"/>
          <w:sz w:val="24"/>
          <w:szCs w:val="28"/>
          <w:u w:val="single"/>
        </w:rPr>
        <w:t xml:space="preserve">         (比选申请人全称)</w:t>
      </w:r>
      <w:r>
        <w:rPr>
          <w:rFonts w:hint="eastAsia" w:hAnsi="仿宋"/>
          <w:sz w:val="24"/>
          <w:szCs w:val="28"/>
        </w:rPr>
        <w:t>全面研究了</w:t>
      </w:r>
      <w:r>
        <w:rPr>
          <w:rFonts w:hint="eastAsia" w:hAnsi="仿宋"/>
          <w:sz w:val="24"/>
          <w:szCs w:val="28"/>
          <w:u w:val="single"/>
        </w:rPr>
        <w:t xml:space="preserve">         （项目名称、标段号）</w:t>
      </w:r>
      <w:r>
        <w:rPr>
          <w:rFonts w:hint="eastAsia" w:hAnsi="仿宋"/>
          <w:sz w:val="24"/>
          <w:szCs w:val="28"/>
        </w:rPr>
        <w:t>比选文件，决定参加贵单位组织的本项目的比选。我方承诺：</w:t>
      </w:r>
    </w:p>
    <w:p>
      <w:pPr>
        <w:pStyle w:val="29"/>
        <w:numPr>
          <w:ilvl w:val="0"/>
          <w:numId w:val="4"/>
        </w:numPr>
        <w:wordWrap w:val="0"/>
        <w:spacing w:line="560" w:lineRule="exact"/>
        <w:ind w:left="0" w:firstLine="426" w:firstLineChars="0"/>
        <w:rPr>
          <w:rFonts w:hAnsi="仿宋"/>
          <w:sz w:val="24"/>
          <w:szCs w:val="28"/>
        </w:rPr>
      </w:pPr>
      <w:r>
        <w:rPr>
          <w:rFonts w:hint="eastAsia" w:hAnsi="仿宋"/>
          <w:sz w:val="24"/>
          <w:szCs w:val="28"/>
        </w:rPr>
        <w:t>我方在完全理解并严格遵守比选文件的各项规定和要求的前提下，自愿参加本项目比选申请，愿以人民币含税</w:t>
      </w:r>
      <w:r>
        <w:rPr>
          <w:rFonts w:hint="eastAsia" w:hAnsi="仿宋"/>
          <w:sz w:val="24"/>
          <w:szCs w:val="28"/>
          <w:u w:val="single"/>
        </w:rPr>
        <w:t xml:space="preserve">      </w:t>
      </w:r>
      <w:r>
        <w:rPr>
          <w:rFonts w:hint="eastAsia" w:hAnsi="仿宋"/>
          <w:sz w:val="24"/>
          <w:szCs w:val="28"/>
        </w:rPr>
        <w:t>元（大写：</w:t>
      </w:r>
      <w:r>
        <w:rPr>
          <w:rFonts w:hint="eastAsia" w:hAnsi="仿宋"/>
          <w:sz w:val="24"/>
          <w:szCs w:val="28"/>
          <w:u w:val="single"/>
        </w:rPr>
        <w:t xml:space="preserve">      </w:t>
      </w:r>
      <w:r>
        <w:rPr>
          <w:rFonts w:hint="eastAsia" w:hAnsi="仿宋"/>
          <w:sz w:val="24"/>
          <w:szCs w:val="28"/>
        </w:rPr>
        <w:t>）的参选总价，按比选文件的要求完成比选文件规定的全部工作。</w:t>
      </w:r>
    </w:p>
    <w:p>
      <w:pPr>
        <w:pStyle w:val="29"/>
        <w:numPr>
          <w:ilvl w:val="0"/>
          <w:numId w:val="4"/>
        </w:numPr>
        <w:wordWrap w:val="0"/>
        <w:spacing w:line="560" w:lineRule="exact"/>
        <w:ind w:left="0" w:firstLine="426" w:firstLineChars="0"/>
        <w:rPr>
          <w:rFonts w:hAnsi="仿宋"/>
          <w:sz w:val="24"/>
          <w:szCs w:val="28"/>
        </w:rPr>
      </w:pPr>
      <w:r>
        <w:rPr>
          <w:rFonts w:hint="eastAsia" w:hAnsi="仿宋"/>
          <w:sz w:val="24"/>
          <w:szCs w:val="28"/>
        </w:rPr>
        <w:t>我方承诺在比选文件规定的参选有效期</w:t>
      </w:r>
      <w:r>
        <w:rPr>
          <w:rFonts w:hint="eastAsia" w:hAnsi="仿宋"/>
          <w:sz w:val="24"/>
          <w:szCs w:val="28"/>
          <w:u w:val="single"/>
        </w:rPr>
        <w:t xml:space="preserve">     </w:t>
      </w:r>
      <w:r>
        <w:rPr>
          <w:rFonts w:hint="eastAsia" w:hAnsi="仿宋"/>
          <w:sz w:val="24"/>
          <w:szCs w:val="28"/>
        </w:rPr>
        <w:t>日内不修改、撤销比选申请文件。</w:t>
      </w:r>
    </w:p>
    <w:p>
      <w:pPr>
        <w:pStyle w:val="29"/>
        <w:numPr>
          <w:ilvl w:val="0"/>
          <w:numId w:val="4"/>
        </w:numPr>
        <w:wordWrap w:val="0"/>
        <w:spacing w:line="560" w:lineRule="exact"/>
        <w:ind w:left="0" w:firstLine="426" w:firstLineChars="0"/>
        <w:rPr>
          <w:rFonts w:hAnsi="仿宋"/>
          <w:sz w:val="24"/>
          <w:szCs w:val="28"/>
        </w:rPr>
      </w:pPr>
      <w:r>
        <w:rPr>
          <w:rFonts w:hint="eastAsia" w:hAnsi="仿宋"/>
          <w:sz w:val="24"/>
          <w:szCs w:val="28"/>
        </w:rPr>
        <w:t>我方已详细研究了比选文件的所有内容包括比选文件补遗书(如有)和所有已提供的参考资料以及有关附件并完全明白。我方放弃在此方面提出含糊意见或误解的一切权力。</w:t>
      </w:r>
    </w:p>
    <w:p>
      <w:pPr>
        <w:pStyle w:val="29"/>
        <w:numPr>
          <w:ilvl w:val="0"/>
          <w:numId w:val="4"/>
        </w:numPr>
        <w:wordWrap w:val="0"/>
        <w:spacing w:line="560" w:lineRule="exact"/>
        <w:ind w:left="0" w:firstLine="426" w:firstLineChars="0"/>
        <w:rPr>
          <w:rFonts w:hAnsi="仿宋"/>
          <w:sz w:val="24"/>
          <w:szCs w:val="28"/>
        </w:rPr>
      </w:pPr>
      <w:r>
        <w:rPr>
          <w:rFonts w:hint="eastAsia" w:hAnsi="仿宋"/>
          <w:sz w:val="24"/>
          <w:szCs w:val="28"/>
        </w:rPr>
        <w:t>我方同意按照贵方可能提出的要求而提供与比选有关的任何其它数据或信息，并保证我方已提供和将要提供的文件资料是真实、准确的。</w:t>
      </w:r>
    </w:p>
    <w:p>
      <w:pPr>
        <w:pStyle w:val="29"/>
        <w:numPr>
          <w:ilvl w:val="0"/>
          <w:numId w:val="4"/>
        </w:numPr>
        <w:wordWrap w:val="0"/>
        <w:spacing w:line="560" w:lineRule="exact"/>
        <w:ind w:left="0" w:firstLine="426" w:firstLineChars="0"/>
        <w:rPr>
          <w:rFonts w:hAnsi="仿宋"/>
          <w:sz w:val="24"/>
          <w:szCs w:val="28"/>
        </w:rPr>
      </w:pPr>
      <w:r>
        <w:rPr>
          <w:rFonts w:hint="eastAsia" w:hAnsi="仿宋"/>
          <w:sz w:val="24"/>
          <w:szCs w:val="28"/>
        </w:rPr>
        <w:t>我方理解贵方不一定接受最低比选报价或任何贵方可能收到的比选申请。</w:t>
      </w:r>
    </w:p>
    <w:p>
      <w:pPr>
        <w:pStyle w:val="29"/>
        <w:numPr>
          <w:ilvl w:val="0"/>
          <w:numId w:val="4"/>
        </w:numPr>
        <w:wordWrap w:val="0"/>
        <w:spacing w:line="560" w:lineRule="exact"/>
        <w:ind w:firstLineChars="0"/>
        <w:rPr>
          <w:rFonts w:hAnsi="仿宋"/>
          <w:sz w:val="24"/>
          <w:szCs w:val="28"/>
        </w:rPr>
      </w:pPr>
      <w:r>
        <w:rPr>
          <w:rFonts w:hAnsi="仿宋"/>
          <w:sz w:val="24"/>
          <w:szCs w:val="28"/>
        </w:rPr>
        <w:t>我方承诺不向第三方透露与比选相关的所有信息。</w:t>
      </w:r>
    </w:p>
    <w:p>
      <w:pPr>
        <w:pStyle w:val="29"/>
        <w:numPr>
          <w:ilvl w:val="0"/>
          <w:numId w:val="4"/>
        </w:numPr>
        <w:wordWrap w:val="0"/>
        <w:spacing w:line="560" w:lineRule="exact"/>
        <w:ind w:left="0" w:firstLine="426" w:firstLineChars="0"/>
        <w:rPr>
          <w:rFonts w:hAnsi="仿宋"/>
          <w:sz w:val="24"/>
          <w:szCs w:val="28"/>
        </w:rPr>
      </w:pPr>
      <w:r>
        <w:rPr>
          <w:rFonts w:hint="eastAsia" w:hAnsi="仿宋"/>
          <w:sz w:val="24"/>
          <w:szCs w:val="28"/>
        </w:rPr>
        <w:t>我方如果中选，将保证履行比选文件以及比选文件补遗书(如有)中全部责任和义务，保证于合同签字生效后履约合同。</w:t>
      </w:r>
    </w:p>
    <w:p>
      <w:pPr>
        <w:pStyle w:val="29"/>
        <w:wordWrap w:val="0"/>
        <w:spacing w:line="560" w:lineRule="exact"/>
        <w:ind w:firstLine="424" w:firstLineChars="177"/>
        <w:rPr>
          <w:rFonts w:hAnsi="仿宋"/>
          <w:sz w:val="24"/>
          <w:szCs w:val="28"/>
        </w:rPr>
      </w:pPr>
      <w:r>
        <w:rPr>
          <w:rFonts w:hint="eastAsia" w:hAnsi="仿宋"/>
          <w:sz w:val="24"/>
          <w:szCs w:val="28"/>
        </w:rPr>
        <w:t>我方在此声明，所递交的比选申请文件及有关资料内容完整、真实和准确，且不存在比选文件第二章 比选申请人须知前附表“不得存在情形”</w:t>
      </w:r>
      <w:r>
        <w:rPr>
          <w:rFonts w:hAnsi="仿宋"/>
          <w:sz w:val="24"/>
          <w:szCs w:val="28"/>
        </w:rPr>
        <w:t>规定的任何一种情形。如有弄虚作假，将承担相应的法律责任，并赔偿由此造成的一切损失。</w:t>
      </w:r>
    </w:p>
    <w:p>
      <w:pPr>
        <w:pStyle w:val="22"/>
        <w:rPr>
          <w:rFonts w:ascii="仿宋_GB2312" w:eastAsia="仿宋_GB2312"/>
          <w:szCs w:val="28"/>
        </w:rPr>
      </w:pPr>
    </w:p>
    <w:p>
      <w:pPr>
        <w:spacing w:line="560" w:lineRule="exact"/>
        <w:rPr>
          <w:rFonts w:hAnsi="仿宋" w:cs="宋体"/>
          <w:sz w:val="24"/>
          <w:szCs w:val="28"/>
        </w:rPr>
      </w:pPr>
      <w:r>
        <w:rPr>
          <w:rFonts w:hint="eastAsia" w:hAnsi="仿宋" w:cs="宋体"/>
          <w:sz w:val="24"/>
          <w:szCs w:val="28"/>
        </w:rPr>
        <w:t>比选申请人（盖章）：</w:t>
      </w:r>
    </w:p>
    <w:p>
      <w:pPr>
        <w:spacing w:line="560" w:lineRule="exact"/>
        <w:rPr>
          <w:rFonts w:hAnsi="仿宋" w:cs="宋体"/>
          <w:sz w:val="24"/>
          <w:szCs w:val="28"/>
        </w:rPr>
      </w:pPr>
      <w:r>
        <w:rPr>
          <w:rFonts w:hint="eastAsia" w:hAnsi="仿宋" w:cs="宋体"/>
          <w:sz w:val="24"/>
          <w:szCs w:val="28"/>
        </w:rPr>
        <w:t>法定代表人/负责人或其授权代表（签字）：</w:t>
      </w:r>
    </w:p>
    <w:p>
      <w:pPr>
        <w:spacing w:line="560" w:lineRule="exact"/>
        <w:rPr>
          <w:rFonts w:hAnsi="仿宋" w:cs="宋体"/>
          <w:sz w:val="24"/>
          <w:szCs w:val="28"/>
        </w:rPr>
      </w:pPr>
      <w:r>
        <w:rPr>
          <w:rFonts w:hint="eastAsia" w:hAnsi="仿宋" w:cs="宋体"/>
          <w:sz w:val="24"/>
          <w:szCs w:val="28"/>
        </w:rPr>
        <w:t>比选申请人地址：</w:t>
      </w:r>
    </w:p>
    <w:p>
      <w:pPr>
        <w:spacing w:line="560" w:lineRule="exact"/>
        <w:rPr>
          <w:rFonts w:hAnsi="仿宋" w:cs="宋体"/>
          <w:sz w:val="24"/>
          <w:szCs w:val="28"/>
        </w:rPr>
      </w:pPr>
      <w:r>
        <w:rPr>
          <w:rFonts w:hint="eastAsia" w:hAnsi="仿宋" w:cs="宋体"/>
          <w:sz w:val="24"/>
          <w:szCs w:val="28"/>
        </w:rPr>
        <w:t>电    话：</w:t>
      </w:r>
    </w:p>
    <w:p>
      <w:pPr>
        <w:spacing w:line="560" w:lineRule="exact"/>
        <w:rPr>
          <w:rFonts w:hAnsi="仿宋"/>
          <w:b/>
          <w:color w:val="000000"/>
          <w:sz w:val="24"/>
          <w:szCs w:val="28"/>
        </w:rPr>
      </w:pPr>
      <w:r>
        <w:rPr>
          <w:rFonts w:hint="eastAsia" w:hAnsi="仿宋" w:cs="宋体"/>
          <w:sz w:val="24"/>
          <w:szCs w:val="28"/>
        </w:rPr>
        <w:t>日    期：</w:t>
      </w:r>
    </w:p>
    <w:p>
      <w:pPr>
        <w:pStyle w:val="4"/>
        <w:rPr>
          <w:rFonts w:ascii="仿宋_GB2312"/>
        </w:rPr>
        <w:sectPr>
          <w:pgSz w:w="11906" w:h="16838"/>
          <w:pgMar w:top="1928" w:right="1531" w:bottom="1928" w:left="1531" w:header="851" w:footer="992" w:gutter="0"/>
          <w:cols w:space="720" w:num="1"/>
          <w:docGrid w:type="lines" w:linePitch="317" w:charSpace="0"/>
        </w:sectPr>
      </w:pPr>
    </w:p>
    <w:p>
      <w:pPr>
        <w:pStyle w:val="4"/>
        <w:rPr>
          <w:rFonts w:ascii="仿宋_GB2312"/>
        </w:rPr>
      </w:pPr>
      <w:r>
        <w:rPr>
          <w:rFonts w:hint="eastAsia" w:ascii="仿宋_GB2312"/>
        </w:rPr>
        <w:t>二、</w:t>
      </w:r>
      <w:bookmarkStart w:id="22" w:name="_Toc475472674"/>
      <w:bookmarkStart w:id="23" w:name="_Toc109827506"/>
      <w:bookmarkStart w:id="24" w:name="_Toc120546420"/>
      <w:r>
        <w:rPr>
          <w:rFonts w:hint="eastAsia" w:ascii="仿宋_GB2312"/>
          <w:lang w:bidi="ar-SA"/>
        </w:rPr>
        <w:t>法定代表人/负责人身份证明</w:t>
      </w:r>
      <w:bookmarkEnd w:id="22"/>
      <w:bookmarkEnd w:id="23"/>
      <w:bookmarkEnd w:id="24"/>
    </w:p>
    <w:p>
      <w:pPr>
        <w:autoSpaceDE/>
        <w:autoSpaceDN/>
        <w:rPr>
          <w:rFonts w:hAnsi="宋体" w:cs="宋体"/>
          <w:b/>
          <w:color w:val="000000"/>
          <w:kern w:val="2"/>
          <w:sz w:val="24"/>
          <w:szCs w:val="24"/>
          <w:lang w:val="en-US" w:bidi="ar-SA"/>
        </w:rPr>
      </w:pPr>
    </w:p>
    <w:p>
      <w:pPr>
        <w:autoSpaceDE/>
        <w:autoSpaceDN/>
        <w:rPr>
          <w:rFonts w:hAnsi="宋体" w:cs="宋体"/>
          <w:b/>
          <w:color w:val="000000"/>
          <w:kern w:val="2"/>
          <w:sz w:val="24"/>
          <w:szCs w:val="24"/>
          <w:lang w:val="en-US" w:bidi="ar-SA"/>
        </w:rPr>
      </w:pPr>
      <w:r>
        <w:rPr>
          <w:rFonts w:hint="eastAsia" w:hAnsi="宋体" w:cs="宋体"/>
          <w:b/>
          <w:color w:val="000000"/>
          <w:kern w:val="2"/>
          <w:sz w:val="24"/>
          <w:szCs w:val="24"/>
          <w:lang w:val="en-US" w:bidi="ar-SA"/>
        </w:rPr>
        <w:t>法定代表人/负责人身份证明</w:t>
      </w:r>
    </w:p>
    <w:p>
      <w:pPr>
        <w:autoSpaceDE/>
        <w:autoSpaceDN/>
        <w:spacing w:line="440" w:lineRule="exact"/>
        <w:rPr>
          <w:rFonts w:hAnsi="宋体" w:cs="Times New Roman"/>
          <w:color w:val="000000"/>
          <w:kern w:val="2"/>
          <w:sz w:val="24"/>
          <w:szCs w:val="24"/>
          <w:lang w:val="en-US" w:bidi="ar-SA"/>
        </w:rPr>
      </w:pPr>
    </w:p>
    <w:p>
      <w:pPr>
        <w:topLinePunct/>
        <w:autoSpaceDE/>
        <w:autoSpaceDN/>
        <w:snapToGrid w:val="0"/>
        <w:spacing w:line="440" w:lineRule="exact"/>
        <w:rPr>
          <w:rFonts w:hAnsi="宋体" w:cs="Times New Roman"/>
          <w:bCs/>
          <w:color w:val="000000"/>
          <w:kern w:val="2"/>
          <w:sz w:val="24"/>
          <w:szCs w:val="24"/>
          <w:u w:val="single"/>
          <w:lang w:val="en-US" w:bidi="ar-SA"/>
        </w:rPr>
      </w:pPr>
      <w:r>
        <w:rPr>
          <w:rFonts w:hint="eastAsia" w:hAnsi="宋体" w:cs="Times New Roman"/>
          <w:bCs/>
          <w:color w:val="000000"/>
          <w:kern w:val="2"/>
          <w:sz w:val="24"/>
          <w:szCs w:val="24"/>
          <w:lang w:val="en-US" w:bidi="ar-SA"/>
        </w:rPr>
        <w:t>比选申请人名称：</w:t>
      </w:r>
      <w:r>
        <w:rPr>
          <w:rFonts w:hint="eastAsia" w:hAnsi="宋体" w:cs="Times New Roman"/>
          <w:bCs/>
          <w:color w:val="000000"/>
          <w:kern w:val="2"/>
          <w:sz w:val="24"/>
          <w:szCs w:val="24"/>
          <w:u w:val="single"/>
          <w:lang w:val="en-US" w:bidi="ar-SA"/>
        </w:rPr>
        <w:t xml:space="preserve">                     </w:t>
      </w:r>
    </w:p>
    <w:p>
      <w:pPr>
        <w:topLinePunct/>
        <w:autoSpaceDE/>
        <w:autoSpaceDN/>
        <w:snapToGrid w:val="0"/>
        <w:spacing w:line="440" w:lineRule="exact"/>
        <w:rPr>
          <w:rFonts w:hAnsi="宋体" w:cs="Times New Roman"/>
          <w:bCs/>
          <w:color w:val="000000"/>
          <w:kern w:val="2"/>
          <w:sz w:val="24"/>
          <w:szCs w:val="24"/>
          <w:lang w:val="en-US" w:bidi="ar-SA"/>
        </w:rPr>
      </w:pPr>
      <w:r>
        <w:rPr>
          <w:rFonts w:hint="eastAsia" w:hAnsi="宋体" w:cs="Times New Roman"/>
          <w:bCs/>
          <w:color w:val="000000"/>
          <w:kern w:val="2"/>
          <w:sz w:val="24"/>
          <w:szCs w:val="24"/>
          <w:lang w:val="en-US" w:bidi="ar-SA"/>
        </w:rPr>
        <w:t>单位性质：</w:t>
      </w:r>
      <w:r>
        <w:rPr>
          <w:rFonts w:hint="eastAsia" w:hAnsi="宋体" w:cs="Times New Roman"/>
          <w:bCs/>
          <w:color w:val="000000"/>
          <w:kern w:val="2"/>
          <w:sz w:val="24"/>
          <w:szCs w:val="24"/>
          <w:u w:val="single"/>
          <w:lang w:val="en-US" w:bidi="ar-SA"/>
        </w:rPr>
        <w:t xml:space="preserve">                           </w:t>
      </w:r>
    </w:p>
    <w:p>
      <w:pPr>
        <w:topLinePunct/>
        <w:autoSpaceDE/>
        <w:autoSpaceDN/>
        <w:snapToGrid w:val="0"/>
        <w:spacing w:line="440" w:lineRule="exact"/>
        <w:rPr>
          <w:rFonts w:hAnsi="宋体" w:cs="Times New Roman"/>
          <w:bCs/>
          <w:color w:val="000000"/>
          <w:kern w:val="2"/>
          <w:sz w:val="24"/>
          <w:szCs w:val="24"/>
          <w:lang w:val="en-US" w:bidi="ar-SA"/>
        </w:rPr>
      </w:pPr>
      <w:r>
        <w:rPr>
          <w:rFonts w:hint="eastAsia" w:hAnsi="宋体" w:cs="Times New Roman"/>
          <w:bCs/>
          <w:color w:val="000000"/>
          <w:kern w:val="2"/>
          <w:sz w:val="24"/>
          <w:szCs w:val="24"/>
          <w:lang w:val="en-US" w:bidi="ar-SA"/>
        </w:rPr>
        <w:t>成立时间：</w:t>
      </w:r>
      <w:r>
        <w:rPr>
          <w:rFonts w:hint="eastAsia" w:hAnsi="宋体" w:cs="Times New Roman"/>
          <w:bCs/>
          <w:color w:val="000000"/>
          <w:kern w:val="2"/>
          <w:sz w:val="24"/>
          <w:szCs w:val="24"/>
          <w:u w:val="single"/>
          <w:lang w:val="en-US" w:bidi="ar-SA"/>
        </w:rPr>
        <w:t xml:space="preserve">       </w:t>
      </w:r>
      <w:r>
        <w:rPr>
          <w:rFonts w:hint="eastAsia" w:hAnsi="宋体" w:cs="Times New Roman"/>
          <w:bCs/>
          <w:color w:val="000000"/>
          <w:kern w:val="2"/>
          <w:sz w:val="24"/>
          <w:szCs w:val="24"/>
          <w:lang w:val="en-US" w:bidi="ar-SA"/>
        </w:rPr>
        <w:t>年</w:t>
      </w:r>
      <w:r>
        <w:rPr>
          <w:rFonts w:hint="eastAsia" w:hAnsi="宋体" w:cs="Times New Roman"/>
          <w:bCs/>
          <w:color w:val="000000"/>
          <w:kern w:val="2"/>
          <w:sz w:val="24"/>
          <w:szCs w:val="24"/>
          <w:u w:val="single"/>
          <w:lang w:val="en-US" w:bidi="ar-SA"/>
        </w:rPr>
        <w:t xml:space="preserve">       </w:t>
      </w:r>
      <w:r>
        <w:rPr>
          <w:rFonts w:hint="eastAsia" w:hAnsi="宋体" w:cs="Times New Roman"/>
          <w:bCs/>
          <w:color w:val="000000"/>
          <w:kern w:val="2"/>
          <w:sz w:val="24"/>
          <w:szCs w:val="24"/>
          <w:lang w:val="en-US" w:bidi="ar-SA"/>
        </w:rPr>
        <w:t>月</w:t>
      </w:r>
      <w:r>
        <w:rPr>
          <w:rFonts w:hint="eastAsia" w:hAnsi="宋体" w:cs="Times New Roman"/>
          <w:bCs/>
          <w:color w:val="000000"/>
          <w:kern w:val="2"/>
          <w:sz w:val="24"/>
          <w:szCs w:val="24"/>
          <w:u w:val="single"/>
          <w:lang w:val="en-US" w:bidi="ar-SA"/>
        </w:rPr>
        <w:t xml:space="preserve">       </w:t>
      </w:r>
      <w:r>
        <w:rPr>
          <w:rFonts w:hint="eastAsia" w:hAnsi="宋体" w:cs="Times New Roman"/>
          <w:bCs/>
          <w:color w:val="000000"/>
          <w:kern w:val="2"/>
          <w:sz w:val="24"/>
          <w:szCs w:val="24"/>
          <w:lang w:val="en-US" w:bidi="ar-SA"/>
        </w:rPr>
        <w:t>日</w:t>
      </w:r>
    </w:p>
    <w:p>
      <w:pPr>
        <w:topLinePunct/>
        <w:autoSpaceDE/>
        <w:autoSpaceDN/>
        <w:snapToGrid w:val="0"/>
        <w:spacing w:line="440" w:lineRule="exact"/>
        <w:rPr>
          <w:rFonts w:hAnsi="宋体" w:cs="Times New Roman"/>
          <w:bCs/>
          <w:color w:val="000000"/>
          <w:kern w:val="2"/>
          <w:sz w:val="24"/>
          <w:szCs w:val="24"/>
          <w:lang w:val="en-US" w:bidi="ar-SA"/>
        </w:rPr>
      </w:pPr>
      <w:r>
        <w:rPr>
          <w:rFonts w:hint="eastAsia" w:hAnsi="宋体" w:cs="Times New Roman"/>
          <w:bCs/>
          <w:color w:val="000000"/>
          <w:kern w:val="2"/>
          <w:sz w:val="24"/>
          <w:szCs w:val="24"/>
          <w:lang w:val="en-US" w:bidi="ar-SA"/>
        </w:rPr>
        <w:t>经营期限：</w:t>
      </w:r>
      <w:r>
        <w:rPr>
          <w:rFonts w:hint="eastAsia" w:hAnsi="宋体" w:cs="Times New Roman"/>
          <w:bCs/>
          <w:color w:val="000000"/>
          <w:kern w:val="2"/>
          <w:sz w:val="24"/>
          <w:szCs w:val="24"/>
          <w:u w:val="single"/>
          <w:lang w:val="en-US" w:bidi="ar-SA"/>
        </w:rPr>
        <w:t xml:space="preserve">            </w:t>
      </w:r>
    </w:p>
    <w:p>
      <w:pPr>
        <w:topLinePunct/>
        <w:autoSpaceDE/>
        <w:autoSpaceDN/>
        <w:snapToGrid w:val="0"/>
        <w:spacing w:line="440" w:lineRule="exact"/>
        <w:rPr>
          <w:rFonts w:hAnsi="宋体" w:cs="Times New Roman"/>
          <w:bCs/>
          <w:color w:val="000000"/>
          <w:kern w:val="2"/>
          <w:sz w:val="24"/>
          <w:szCs w:val="24"/>
          <w:u w:val="single"/>
          <w:lang w:val="en-US" w:bidi="ar-SA"/>
        </w:rPr>
      </w:pPr>
      <w:r>
        <w:rPr>
          <w:rFonts w:hint="eastAsia" w:hAnsi="宋体" w:cs="Times New Roman"/>
          <w:bCs/>
          <w:color w:val="000000"/>
          <w:kern w:val="2"/>
          <w:sz w:val="24"/>
          <w:szCs w:val="24"/>
          <w:lang w:val="en-US" w:bidi="ar-SA"/>
        </w:rPr>
        <w:t>姓名：</w:t>
      </w:r>
      <w:r>
        <w:rPr>
          <w:rFonts w:hint="eastAsia" w:hAnsi="宋体" w:cs="Times New Roman"/>
          <w:bCs/>
          <w:color w:val="000000"/>
          <w:kern w:val="2"/>
          <w:sz w:val="24"/>
          <w:szCs w:val="24"/>
          <w:u w:val="single"/>
          <w:lang w:val="en-US" w:bidi="ar-SA"/>
        </w:rPr>
        <w:t xml:space="preserve">         </w:t>
      </w:r>
      <w:r>
        <w:rPr>
          <w:rFonts w:hint="eastAsia" w:hAnsi="宋体" w:cs="Times New Roman"/>
          <w:bCs/>
          <w:color w:val="000000"/>
          <w:kern w:val="2"/>
          <w:sz w:val="24"/>
          <w:szCs w:val="24"/>
          <w:lang w:val="en-US" w:bidi="ar-SA"/>
        </w:rPr>
        <w:t>性别：</w:t>
      </w:r>
      <w:r>
        <w:rPr>
          <w:rFonts w:hint="eastAsia" w:hAnsi="宋体" w:cs="Times New Roman"/>
          <w:bCs/>
          <w:color w:val="000000"/>
          <w:kern w:val="2"/>
          <w:sz w:val="24"/>
          <w:szCs w:val="24"/>
          <w:u w:val="single"/>
          <w:lang w:val="en-US" w:bidi="ar-SA"/>
        </w:rPr>
        <w:t xml:space="preserve">          </w:t>
      </w:r>
      <w:r>
        <w:rPr>
          <w:rFonts w:hint="eastAsia" w:hAnsi="宋体" w:cs="Times New Roman"/>
          <w:bCs/>
          <w:color w:val="000000"/>
          <w:kern w:val="2"/>
          <w:sz w:val="24"/>
          <w:szCs w:val="24"/>
          <w:lang w:val="en-US" w:bidi="ar-SA"/>
        </w:rPr>
        <w:t>年龄：</w:t>
      </w:r>
      <w:r>
        <w:rPr>
          <w:rFonts w:hint="eastAsia" w:hAnsi="宋体" w:cs="Times New Roman"/>
          <w:bCs/>
          <w:color w:val="000000"/>
          <w:kern w:val="2"/>
          <w:sz w:val="24"/>
          <w:szCs w:val="24"/>
          <w:u w:val="single"/>
          <w:lang w:val="en-US" w:bidi="ar-SA"/>
        </w:rPr>
        <w:t xml:space="preserve">         </w:t>
      </w:r>
      <w:r>
        <w:rPr>
          <w:rFonts w:hint="eastAsia" w:hAnsi="宋体" w:cs="Times New Roman"/>
          <w:bCs/>
          <w:color w:val="000000"/>
          <w:kern w:val="2"/>
          <w:sz w:val="24"/>
          <w:szCs w:val="24"/>
          <w:lang w:val="en-US" w:bidi="ar-SA"/>
        </w:rPr>
        <w:t>职务：</w:t>
      </w:r>
      <w:r>
        <w:rPr>
          <w:rFonts w:hint="eastAsia" w:hAnsi="宋体" w:cs="Times New Roman"/>
          <w:bCs/>
          <w:color w:val="000000"/>
          <w:kern w:val="2"/>
          <w:sz w:val="24"/>
          <w:szCs w:val="24"/>
          <w:u w:val="single"/>
          <w:lang w:val="en-US" w:bidi="ar-SA"/>
        </w:rPr>
        <w:t xml:space="preserve">         </w:t>
      </w:r>
    </w:p>
    <w:p>
      <w:pPr>
        <w:topLinePunct/>
        <w:autoSpaceDE/>
        <w:autoSpaceDN/>
        <w:snapToGrid w:val="0"/>
        <w:spacing w:line="440" w:lineRule="exact"/>
        <w:rPr>
          <w:rFonts w:hAnsi="宋体" w:cs="Times New Roman"/>
          <w:bCs/>
          <w:color w:val="000000"/>
          <w:kern w:val="2"/>
          <w:sz w:val="24"/>
          <w:szCs w:val="24"/>
          <w:lang w:val="en-US" w:bidi="ar-SA"/>
        </w:rPr>
      </w:pPr>
      <w:r>
        <w:rPr>
          <w:rFonts w:hint="eastAsia" w:hAnsi="宋体" w:cs="Times New Roman"/>
          <w:bCs/>
          <w:color w:val="000000"/>
          <w:kern w:val="2"/>
          <w:sz w:val="24"/>
          <w:szCs w:val="24"/>
          <w:lang w:val="en-US" w:bidi="ar-SA"/>
        </w:rPr>
        <w:t>系</w:t>
      </w:r>
      <w:r>
        <w:rPr>
          <w:rFonts w:hint="eastAsia" w:hAnsi="宋体" w:cs="Times New Roman"/>
          <w:bCs/>
          <w:color w:val="000000"/>
          <w:kern w:val="2"/>
          <w:sz w:val="24"/>
          <w:szCs w:val="24"/>
          <w:u w:val="single"/>
          <w:lang w:val="en-US" w:bidi="ar-SA"/>
        </w:rPr>
        <w:t xml:space="preserve">              </w:t>
      </w:r>
      <w:r>
        <w:rPr>
          <w:rFonts w:hint="eastAsia" w:hAnsi="宋体" w:cs="Times New Roman"/>
          <w:color w:val="000000"/>
          <w:kern w:val="2"/>
          <w:sz w:val="24"/>
          <w:szCs w:val="24"/>
          <w:lang w:val="en-US" w:bidi="ar-SA"/>
        </w:rPr>
        <w:t>（比选申请人全称）</w:t>
      </w:r>
      <w:r>
        <w:rPr>
          <w:rFonts w:hint="eastAsia" w:hAnsi="宋体" w:cs="Times New Roman"/>
          <w:bCs/>
          <w:color w:val="000000"/>
          <w:kern w:val="2"/>
          <w:sz w:val="24"/>
          <w:szCs w:val="24"/>
          <w:lang w:val="en-US" w:bidi="ar-SA"/>
        </w:rPr>
        <w:t>的法定代表人/负责人。</w:t>
      </w:r>
    </w:p>
    <w:p>
      <w:pPr>
        <w:topLinePunct/>
        <w:autoSpaceDE/>
        <w:autoSpaceDN/>
        <w:snapToGrid w:val="0"/>
        <w:spacing w:line="440" w:lineRule="exact"/>
        <w:ind w:firstLine="480" w:firstLineChars="200"/>
        <w:rPr>
          <w:rFonts w:hAnsi="宋体" w:cs="Times New Roman"/>
          <w:bCs/>
          <w:color w:val="000000"/>
          <w:kern w:val="2"/>
          <w:sz w:val="24"/>
          <w:szCs w:val="24"/>
          <w:lang w:val="en-US" w:bidi="ar-SA"/>
        </w:rPr>
      </w:pPr>
      <w:r>
        <w:rPr>
          <w:rFonts w:hint="eastAsia" w:hAnsi="宋体" w:cs="Times New Roman"/>
          <w:bCs/>
          <w:color w:val="000000"/>
          <w:kern w:val="2"/>
          <w:sz w:val="24"/>
          <w:szCs w:val="24"/>
          <w:lang w:val="en-US" w:bidi="ar-SA"/>
        </w:rPr>
        <w:t>特此证明。</w:t>
      </w:r>
    </w:p>
    <w:p>
      <w:pPr>
        <w:topLinePunct/>
        <w:autoSpaceDE/>
        <w:autoSpaceDN/>
        <w:snapToGrid w:val="0"/>
        <w:spacing w:line="440" w:lineRule="exact"/>
        <w:ind w:firstLine="480" w:firstLineChars="200"/>
        <w:rPr>
          <w:rFonts w:hAnsi="宋体" w:cs="Times New Roman"/>
          <w:bCs/>
          <w:color w:val="000000"/>
          <w:kern w:val="2"/>
          <w:sz w:val="24"/>
          <w:szCs w:val="24"/>
          <w:lang w:val="en-US" w:bidi="ar-SA"/>
        </w:rPr>
      </w:pPr>
    </w:p>
    <w:p>
      <w:pPr>
        <w:topLinePunct/>
        <w:autoSpaceDE/>
        <w:autoSpaceDN/>
        <w:snapToGrid w:val="0"/>
        <w:spacing w:line="440" w:lineRule="exact"/>
        <w:rPr>
          <w:rFonts w:hAnsi="宋体" w:cs="Times New Roman"/>
          <w:color w:val="000000"/>
          <w:kern w:val="2"/>
          <w:sz w:val="24"/>
          <w:szCs w:val="24"/>
          <w:lang w:val="en-US" w:bidi="ar-SA"/>
        </w:rPr>
      </w:pPr>
      <w:r>
        <w:rPr>
          <w:rFonts w:hint="eastAsia" w:hAnsi="宋体" w:cs="Times New Roman"/>
          <w:color w:val="000000"/>
          <w:kern w:val="2"/>
          <w:sz w:val="24"/>
          <w:szCs w:val="24"/>
          <w:lang w:val="en-US" w:bidi="ar-SA"/>
        </w:rPr>
        <w:t>附：法定代表人/负责人的合法有效身份证明复印件或扫描件</w:t>
      </w:r>
      <w:r>
        <w:rPr>
          <w:rFonts w:hint="eastAsia" w:hAnsi="宋体" w:cs="Times New Roman"/>
          <w:bCs/>
          <w:color w:val="000000"/>
          <w:kern w:val="2"/>
          <w:sz w:val="24"/>
          <w:szCs w:val="24"/>
          <w:lang w:val="en-US" w:bidi="ar-SA"/>
        </w:rPr>
        <w:t>(提供中华人民共和国居民身份证的，需同时提供国徽面及人像面)</w:t>
      </w:r>
    </w:p>
    <w:p>
      <w:pPr>
        <w:autoSpaceDE/>
        <w:autoSpaceDN/>
        <w:spacing w:line="500" w:lineRule="exact"/>
        <w:rPr>
          <w:rFonts w:hAnsi="宋体" w:cs="Times New Roman"/>
          <w:color w:val="000000"/>
          <w:kern w:val="2"/>
          <w:sz w:val="21"/>
          <w:szCs w:val="21"/>
          <w:lang w:val="en-US" w:bidi="ar-SA"/>
        </w:rPr>
      </w:pPr>
      <w:r>
        <w:rPr>
          <w:rFonts w:hint="eastAsia" w:hAnsi="宋体" w:cs="Times New Roman"/>
          <w:color w:val="000000"/>
          <w:kern w:val="2"/>
          <w:sz w:val="21"/>
          <w:szCs w:val="21"/>
          <w:lang w:val="en-US" w:bidi="ar-SA"/>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17145" b="1968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身份证放置处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AIl+NgAAAAKAQAADwAAAAAAAAABACAAAAAiAAAAZHJzL2Rvd25yZXYueG1sUEsBAhQAFAAA&#10;AAgAh07iQCyKqIthAgAAowQAAA4AAAAAAAAAAQAgAAAAJw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身份证放置处</w:t>
                      </w:r>
                    </w:p>
                  </w:txbxContent>
                </v:textbox>
              </v:shape>
            </w:pict>
          </mc:Fallback>
        </mc:AlternateContent>
      </w:r>
      <w:r>
        <w:rPr>
          <w:rFonts w:hint="eastAsia" w:hAnsi="宋体" w:cs="Times New Roman"/>
          <w:color w:val="000000"/>
          <w:kern w:val="2"/>
          <w:sz w:val="21"/>
          <w:szCs w:val="21"/>
          <w:lang w:val="en-US" w:bidi="ar-SA"/>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17145" b="19685"/>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身份证放置处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E/ScbZgAgAAoQQAAA4AAAAAAAAAAQAgAAAAKA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身份证放置处</w:t>
                      </w:r>
                    </w:p>
                  </w:txbxContent>
                </v:textbox>
              </v:shape>
            </w:pict>
          </mc:Fallback>
        </mc:AlternateContent>
      </w:r>
    </w:p>
    <w:p>
      <w:pPr>
        <w:autoSpaceDE/>
        <w:autoSpaceDN/>
        <w:spacing w:line="500" w:lineRule="exact"/>
        <w:rPr>
          <w:rFonts w:hAnsi="宋体" w:cs="Times New Roman"/>
          <w:color w:val="000000"/>
          <w:kern w:val="2"/>
          <w:sz w:val="21"/>
          <w:szCs w:val="21"/>
          <w:lang w:val="en-US" w:bidi="ar-SA"/>
        </w:rPr>
      </w:pPr>
    </w:p>
    <w:p>
      <w:pPr>
        <w:autoSpaceDE/>
        <w:autoSpaceDN/>
        <w:spacing w:line="440" w:lineRule="exact"/>
        <w:rPr>
          <w:rFonts w:hAnsi="宋体" w:cs="Times New Roman"/>
          <w:color w:val="000000"/>
          <w:kern w:val="2"/>
          <w:sz w:val="21"/>
          <w:szCs w:val="21"/>
          <w:lang w:val="en-US" w:bidi="ar-SA"/>
        </w:rPr>
      </w:pPr>
    </w:p>
    <w:p>
      <w:pPr>
        <w:autoSpaceDE/>
        <w:autoSpaceDN/>
        <w:spacing w:line="440" w:lineRule="exact"/>
        <w:rPr>
          <w:rFonts w:hAnsi="宋体" w:cs="Times New Roman"/>
          <w:color w:val="000000"/>
          <w:kern w:val="2"/>
          <w:sz w:val="21"/>
          <w:szCs w:val="21"/>
          <w:lang w:val="en-US" w:bidi="ar-SA"/>
        </w:rPr>
      </w:pPr>
      <w:r>
        <w:rPr>
          <w:rFonts w:hint="eastAsia" w:hAnsi="宋体" w:cs="Times New Roman"/>
          <w:color w:val="000000"/>
          <w:kern w:val="2"/>
          <w:sz w:val="21"/>
          <w:szCs w:val="21"/>
          <w:lang w:val="en-US" w:bidi="ar-SA"/>
        </w:rPr>
        <w:t xml:space="preserve">                          </w:t>
      </w:r>
    </w:p>
    <w:p>
      <w:pPr>
        <w:autoSpaceDE/>
        <w:autoSpaceDN/>
        <w:spacing w:line="500" w:lineRule="exact"/>
        <w:rPr>
          <w:rFonts w:hAnsi="宋体" w:cs="Times New Roman"/>
          <w:color w:val="000000"/>
          <w:kern w:val="2"/>
          <w:sz w:val="21"/>
          <w:szCs w:val="21"/>
          <w:lang w:val="en-US" w:bidi="ar-SA"/>
        </w:rPr>
      </w:pPr>
    </w:p>
    <w:p>
      <w:pPr>
        <w:autoSpaceDE/>
        <w:autoSpaceDN/>
        <w:spacing w:line="440" w:lineRule="exact"/>
        <w:rPr>
          <w:rFonts w:hAnsi="宋体" w:cs="Times New Roman"/>
          <w:color w:val="000000"/>
          <w:kern w:val="2"/>
          <w:sz w:val="21"/>
          <w:szCs w:val="21"/>
          <w:lang w:val="en-US" w:bidi="ar-SA"/>
        </w:rPr>
      </w:pPr>
    </w:p>
    <w:p>
      <w:pPr>
        <w:autoSpaceDE/>
        <w:autoSpaceDN/>
        <w:spacing w:line="500" w:lineRule="exact"/>
        <w:rPr>
          <w:rFonts w:hAnsi="宋体" w:cs="Times New Roman"/>
          <w:color w:val="000000"/>
          <w:kern w:val="2"/>
          <w:sz w:val="21"/>
          <w:szCs w:val="21"/>
          <w:lang w:val="en-US" w:bidi="ar-SA"/>
        </w:rPr>
      </w:pPr>
    </w:p>
    <w:p>
      <w:pPr>
        <w:autoSpaceDE/>
        <w:autoSpaceDN/>
        <w:spacing w:line="440" w:lineRule="exact"/>
        <w:rPr>
          <w:rFonts w:hAnsi="宋体" w:cs="Times New Roman"/>
          <w:color w:val="000000"/>
          <w:kern w:val="2"/>
          <w:sz w:val="21"/>
          <w:szCs w:val="21"/>
          <w:lang w:val="en-US" w:bidi="ar-SA"/>
        </w:rPr>
      </w:pPr>
    </w:p>
    <w:p>
      <w:pPr>
        <w:autoSpaceDE/>
        <w:autoSpaceDN/>
        <w:spacing w:line="440" w:lineRule="exact"/>
        <w:rPr>
          <w:rFonts w:hAnsi="宋体" w:cs="Times New Roman"/>
          <w:color w:val="000000"/>
          <w:kern w:val="2"/>
          <w:sz w:val="21"/>
          <w:szCs w:val="21"/>
          <w:lang w:val="en-US" w:bidi="ar-SA"/>
        </w:rPr>
      </w:pPr>
      <w:r>
        <w:rPr>
          <w:rFonts w:hint="eastAsia" w:hAnsi="宋体" w:cs="Times New Roman"/>
          <w:color w:val="000000"/>
          <w:kern w:val="2"/>
          <w:sz w:val="21"/>
          <w:szCs w:val="21"/>
          <w:lang w:val="en-US" w:bidi="ar-SA"/>
        </w:rPr>
        <w:t xml:space="preserve">                          </w:t>
      </w:r>
    </w:p>
    <w:p>
      <w:pPr>
        <w:autoSpaceDE/>
        <w:autoSpaceDN/>
        <w:spacing w:line="440" w:lineRule="exact"/>
        <w:ind w:firstLine="4920" w:firstLineChars="2050"/>
        <w:rPr>
          <w:rFonts w:hAnsi="宋体" w:cs="Times New Roman"/>
          <w:color w:val="000000"/>
          <w:kern w:val="2"/>
          <w:sz w:val="24"/>
          <w:szCs w:val="21"/>
          <w:lang w:val="en-US" w:bidi="ar-SA"/>
        </w:rPr>
      </w:pPr>
      <w:r>
        <w:rPr>
          <w:rFonts w:hint="eastAsia" w:hAnsi="宋体" w:cs="Times New Roman"/>
          <w:color w:val="000000"/>
          <w:kern w:val="2"/>
          <w:sz w:val="24"/>
          <w:szCs w:val="21"/>
          <w:lang w:val="en-US" w:bidi="ar-SA"/>
        </w:rPr>
        <w:t>比选申请人（盖章）：</w:t>
      </w:r>
      <w:r>
        <w:rPr>
          <w:rFonts w:hint="eastAsia" w:hAnsi="宋体" w:cs="Times New Roman"/>
          <w:color w:val="000000"/>
          <w:kern w:val="2"/>
          <w:sz w:val="24"/>
          <w:szCs w:val="21"/>
          <w:u w:val="single"/>
          <w:lang w:val="en-US" w:bidi="ar-SA"/>
        </w:rPr>
        <w:t xml:space="preserve">               </w:t>
      </w:r>
    </w:p>
    <w:p>
      <w:pPr>
        <w:autoSpaceDE/>
        <w:autoSpaceDN/>
        <w:spacing w:line="440" w:lineRule="exact"/>
        <w:ind w:firstLine="4920" w:firstLineChars="2050"/>
        <w:rPr>
          <w:rFonts w:hAnsi="宋体" w:cs="Times New Roman"/>
          <w:color w:val="000000"/>
          <w:kern w:val="2"/>
          <w:sz w:val="24"/>
          <w:szCs w:val="21"/>
          <w:lang w:val="en-US" w:bidi="ar-SA"/>
        </w:rPr>
      </w:pPr>
    </w:p>
    <w:p>
      <w:pPr>
        <w:rPr>
          <w:sz w:val="28"/>
          <w:lang w:val="en-US"/>
        </w:rPr>
      </w:pPr>
      <w:r>
        <w:rPr>
          <w:rFonts w:hint="eastAsia" w:hAnsi="宋体" w:cs="Times New Roman"/>
          <w:color w:val="000000"/>
          <w:kern w:val="2"/>
          <w:sz w:val="24"/>
          <w:szCs w:val="21"/>
          <w:lang w:val="en-US" w:bidi="ar-SA"/>
        </w:rPr>
        <w:t xml:space="preserve">                                         </w:t>
      </w:r>
      <w:r>
        <w:rPr>
          <w:rFonts w:hint="eastAsia" w:hAnsi="宋体" w:cs="Times New Roman"/>
          <w:color w:val="000000"/>
          <w:kern w:val="2"/>
          <w:sz w:val="24"/>
          <w:szCs w:val="24"/>
          <w:lang w:val="en-US" w:bidi="ar-SA"/>
        </w:rPr>
        <w:t>日期：XX年XX月XX日</w:t>
      </w:r>
    </w:p>
    <w:p>
      <w:pPr>
        <w:pStyle w:val="4"/>
        <w:rPr>
          <w:rFonts w:ascii="仿宋_GB2312"/>
          <w:lang w:val="en-US"/>
        </w:rPr>
        <w:sectPr>
          <w:pgSz w:w="11906" w:h="16838"/>
          <w:pgMar w:top="1928" w:right="1531" w:bottom="1928" w:left="1531" w:header="851" w:footer="992" w:gutter="0"/>
          <w:cols w:space="720" w:num="1"/>
          <w:docGrid w:type="lines" w:linePitch="317" w:charSpace="0"/>
        </w:sectPr>
      </w:pPr>
    </w:p>
    <w:p>
      <w:pPr>
        <w:pStyle w:val="4"/>
        <w:rPr>
          <w:rFonts w:ascii="仿宋_GB2312"/>
        </w:rPr>
      </w:pPr>
      <w:r>
        <w:rPr>
          <w:rFonts w:hint="eastAsia" w:ascii="仿宋_GB2312"/>
        </w:rPr>
        <w:t>三、法定代表人/负责人授权书（如有）</w:t>
      </w:r>
    </w:p>
    <w:p>
      <w:pPr>
        <w:snapToGrid w:val="0"/>
        <w:rPr>
          <w:sz w:val="28"/>
          <w:szCs w:val="28"/>
        </w:rPr>
      </w:pPr>
    </w:p>
    <w:p>
      <w:pPr>
        <w:wordWrap w:val="0"/>
        <w:snapToGrid w:val="0"/>
        <w:spacing w:line="560" w:lineRule="exact"/>
        <w:ind w:firstLine="240" w:firstLineChars="100"/>
        <w:rPr>
          <w:sz w:val="24"/>
          <w:szCs w:val="28"/>
        </w:rPr>
      </w:pPr>
      <w:r>
        <w:rPr>
          <w:rFonts w:hint="eastAsia" w:hAnsi="仿宋"/>
          <w:color w:val="000000"/>
          <w:sz w:val="24"/>
          <w:szCs w:val="28"/>
        </w:rPr>
        <w:t>致：</w:t>
      </w:r>
      <w:r>
        <w:rPr>
          <w:rFonts w:hint="eastAsia" w:hAnsi="宋体" w:cs="宋体"/>
          <w:bCs/>
          <w:color w:val="000000"/>
          <w:sz w:val="24"/>
          <w:szCs w:val="28"/>
          <w:lang w:val="en-US" w:bidi="ar-SA"/>
        </w:rPr>
        <w:t>四川蜀道物流集团有限公司、渠县蜀物致远物流发展有限公司</w:t>
      </w:r>
    </w:p>
    <w:p>
      <w:pPr>
        <w:wordWrap w:val="0"/>
        <w:snapToGrid w:val="0"/>
        <w:spacing w:line="560" w:lineRule="exact"/>
        <w:ind w:left="420" w:firstLine="480" w:firstLineChars="200"/>
        <w:rPr>
          <w:rFonts w:hAnsi="仿宋"/>
          <w:color w:val="000000"/>
          <w:sz w:val="24"/>
          <w:szCs w:val="28"/>
        </w:rPr>
      </w:pPr>
      <w:r>
        <w:rPr>
          <w:rFonts w:hint="eastAsia" w:hAnsi="仿宋"/>
          <w:color w:val="000000"/>
          <w:sz w:val="24"/>
          <w:szCs w:val="28"/>
        </w:rPr>
        <w:t>本授权声明：</w:t>
      </w:r>
      <w:r>
        <w:rPr>
          <w:rFonts w:hint="eastAsia" w:hAnsi="仿宋"/>
          <w:color w:val="000000"/>
          <w:sz w:val="24"/>
          <w:szCs w:val="28"/>
          <w:u w:val="single"/>
        </w:rPr>
        <w:t xml:space="preserve">           </w:t>
      </w:r>
      <w:r>
        <w:rPr>
          <w:rFonts w:hint="eastAsia" w:hAnsi="仿宋"/>
          <w:color w:val="000000"/>
          <w:sz w:val="24"/>
          <w:szCs w:val="28"/>
        </w:rPr>
        <w:t>（比选申请人名称）</w:t>
      </w:r>
      <w:r>
        <w:rPr>
          <w:rFonts w:hint="eastAsia" w:hAnsi="仿宋"/>
          <w:color w:val="000000"/>
          <w:sz w:val="24"/>
          <w:szCs w:val="28"/>
          <w:u w:val="single"/>
        </w:rPr>
        <w:t xml:space="preserve">             </w:t>
      </w:r>
      <w:r>
        <w:rPr>
          <w:rFonts w:hint="eastAsia" w:hAnsi="仿宋"/>
          <w:color w:val="000000"/>
          <w:sz w:val="24"/>
          <w:szCs w:val="28"/>
        </w:rPr>
        <w:t>（法定代表人/负责人姓名、职务）授权</w:t>
      </w:r>
      <w:r>
        <w:rPr>
          <w:rFonts w:hint="eastAsia" w:hAnsi="仿宋"/>
          <w:color w:val="000000"/>
          <w:sz w:val="24"/>
          <w:szCs w:val="28"/>
          <w:u w:val="single"/>
        </w:rPr>
        <w:t xml:space="preserve">         （被授权人姓名、职务）</w:t>
      </w:r>
      <w:r>
        <w:rPr>
          <w:rFonts w:hint="eastAsia" w:hAnsi="仿宋"/>
          <w:color w:val="000000"/>
          <w:sz w:val="24"/>
          <w:szCs w:val="28"/>
        </w:rPr>
        <w:t>为我方</w:t>
      </w:r>
      <w:r>
        <w:rPr>
          <w:rFonts w:hint="eastAsia" w:hAnsi="仿宋"/>
          <w:color w:val="000000"/>
          <w:sz w:val="24"/>
          <w:szCs w:val="28"/>
          <w:u w:val="single"/>
        </w:rPr>
        <w:t xml:space="preserve">        （项目名称）</w:t>
      </w:r>
      <w:r>
        <w:rPr>
          <w:rFonts w:hint="eastAsia" w:hAnsi="仿宋"/>
          <w:color w:val="000000"/>
          <w:sz w:val="24"/>
          <w:szCs w:val="28"/>
        </w:rPr>
        <w:t>参选活动的合法代表，以我方名义全权处理该项目有关参加比选、签订合同以及执行合同等一切事宜。</w:t>
      </w:r>
    </w:p>
    <w:p>
      <w:pPr>
        <w:wordWrap w:val="0"/>
        <w:snapToGrid w:val="0"/>
        <w:spacing w:line="560" w:lineRule="exact"/>
        <w:ind w:left="420" w:firstLine="480" w:firstLineChars="200"/>
        <w:rPr>
          <w:rFonts w:hAnsi="仿宋"/>
          <w:color w:val="000000"/>
          <w:sz w:val="24"/>
          <w:szCs w:val="28"/>
        </w:rPr>
      </w:pPr>
      <w:r>
        <w:rPr>
          <w:rFonts w:hint="eastAsia" w:hAnsi="仿宋"/>
          <w:color w:val="000000"/>
          <w:sz w:val="24"/>
          <w:szCs w:val="28"/>
        </w:rPr>
        <w:t>委托期限：自授权之日起至参选有效期结束。</w:t>
      </w:r>
    </w:p>
    <w:p>
      <w:pPr>
        <w:wordWrap w:val="0"/>
        <w:snapToGrid w:val="0"/>
        <w:spacing w:line="560" w:lineRule="exact"/>
        <w:ind w:left="420" w:firstLine="480" w:firstLineChars="200"/>
        <w:rPr>
          <w:rFonts w:hAnsi="仿宋"/>
          <w:color w:val="000000"/>
          <w:sz w:val="24"/>
          <w:szCs w:val="28"/>
        </w:rPr>
      </w:pPr>
      <w:r>
        <w:rPr>
          <w:rFonts w:hint="eastAsia" w:hAnsi="仿宋"/>
          <w:color w:val="000000"/>
          <w:sz w:val="24"/>
          <w:szCs w:val="28"/>
        </w:rPr>
        <w:t>委托代理人无转委托权。</w:t>
      </w:r>
    </w:p>
    <w:p>
      <w:pPr>
        <w:wordWrap w:val="0"/>
        <w:snapToGrid w:val="0"/>
        <w:spacing w:line="560" w:lineRule="exact"/>
        <w:ind w:left="420" w:firstLine="480" w:firstLineChars="200"/>
        <w:rPr>
          <w:rFonts w:hAnsi="仿宋"/>
          <w:color w:val="000000"/>
          <w:sz w:val="24"/>
          <w:szCs w:val="28"/>
        </w:rPr>
      </w:pPr>
      <w:r>
        <w:rPr>
          <w:rFonts w:hint="eastAsia" w:hAnsi="仿宋"/>
          <w:color w:val="000000"/>
          <w:sz w:val="24"/>
          <w:szCs w:val="28"/>
        </w:rPr>
        <w:t>特此声明。</w:t>
      </w:r>
    </w:p>
    <w:p>
      <w:pPr>
        <w:wordWrap w:val="0"/>
        <w:snapToGrid w:val="0"/>
        <w:spacing w:line="560" w:lineRule="exact"/>
        <w:rPr>
          <w:rFonts w:hAnsi="仿宋"/>
          <w:color w:val="000000"/>
          <w:sz w:val="24"/>
          <w:szCs w:val="28"/>
        </w:rPr>
      </w:pPr>
    </w:p>
    <w:p>
      <w:pPr>
        <w:wordWrap w:val="0"/>
        <w:snapToGrid w:val="0"/>
        <w:spacing w:line="360" w:lineRule="auto"/>
        <w:rPr>
          <w:rFonts w:hAnsi="仿宋"/>
          <w:color w:val="000000"/>
          <w:sz w:val="24"/>
          <w:szCs w:val="28"/>
        </w:rPr>
      </w:pPr>
      <w:r>
        <w:rPr>
          <w:rFonts w:hint="eastAsia" w:hAnsi="宋体" w:cs="Times New Roman"/>
          <w:color w:val="000000"/>
          <w:kern w:val="2"/>
          <w:sz w:val="24"/>
          <w:szCs w:val="21"/>
          <w:lang w:val="en-US" w:bidi="ar-SA"/>
        </w:rPr>
        <w:t>比选申请人（盖章）：</w:t>
      </w:r>
      <w:r>
        <w:rPr>
          <w:rFonts w:hint="eastAsia" w:hAnsi="宋体" w:cs="Times New Roman"/>
          <w:color w:val="000000"/>
          <w:kern w:val="2"/>
          <w:sz w:val="24"/>
          <w:szCs w:val="21"/>
          <w:u w:val="single"/>
          <w:lang w:val="en-US" w:bidi="ar-SA"/>
        </w:rPr>
        <w:t xml:space="preserve">             </w:t>
      </w:r>
    </w:p>
    <w:p>
      <w:pPr>
        <w:wordWrap w:val="0"/>
        <w:snapToGrid w:val="0"/>
        <w:spacing w:line="360" w:lineRule="auto"/>
        <w:rPr>
          <w:rFonts w:hAnsi="仿宋"/>
          <w:color w:val="000000"/>
          <w:sz w:val="24"/>
          <w:szCs w:val="28"/>
        </w:rPr>
      </w:pPr>
      <w:r>
        <w:rPr>
          <w:rFonts w:hint="eastAsia" w:hAnsi="仿宋"/>
          <w:color w:val="000000"/>
          <w:sz w:val="24"/>
          <w:szCs w:val="28"/>
        </w:rPr>
        <w:t>法定代表人/负责人（签字）：</w:t>
      </w:r>
      <w:r>
        <w:rPr>
          <w:rFonts w:hint="eastAsia" w:hAnsi="宋体" w:cs="Times New Roman"/>
          <w:color w:val="000000"/>
          <w:kern w:val="2"/>
          <w:sz w:val="24"/>
          <w:szCs w:val="21"/>
          <w:u w:val="single"/>
          <w:lang w:val="en-US" w:bidi="ar-SA"/>
        </w:rPr>
        <w:t xml:space="preserve">             </w:t>
      </w:r>
    </w:p>
    <w:p>
      <w:pPr>
        <w:wordWrap w:val="0"/>
        <w:snapToGrid w:val="0"/>
        <w:spacing w:line="360" w:lineRule="auto"/>
        <w:rPr>
          <w:rFonts w:hAnsi="仿宋"/>
          <w:color w:val="000000"/>
          <w:sz w:val="24"/>
          <w:szCs w:val="28"/>
        </w:rPr>
      </w:pPr>
      <w:r>
        <w:rPr>
          <w:rFonts w:hint="eastAsia" w:hAnsi="仿宋"/>
          <w:color w:val="000000"/>
          <w:sz w:val="24"/>
          <w:szCs w:val="28"/>
        </w:rPr>
        <w:t>授权代表（签字）：</w:t>
      </w:r>
      <w:r>
        <w:rPr>
          <w:rFonts w:hint="eastAsia" w:hAnsi="宋体" w:cs="Times New Roman"/>
          <w:color w:val="000000"/>
          <w:kern w:val="2"/>
          <w:sz w:val="24"/>
          <w:szCs w:val="21"/>
          <w:u w:val="single"/>
          <w:lang w:val="en-US" w:bidi="ar-SA"/>
        </w:rPr>
        <w:t xml:space="preserve">             </w:t>
      </w:r>
    </w:p>
    <w:p>
      <w:pPr>
        <w:wordWrap w:val="0"/>
        <w:snapToGrid w:val="0"/>
        <w:spacing w:line="360" w:lineRule="auto"/>
        <w:rPr>
          <w:rFonts w:hAnsi="仿宋"/>
          <w:color w:val="000000"/>
          <w:sz w:val="28"/>
          <w:szCs w:val="28"/>
        </w:rPr>
      </w:pPr>
      <w:r>
        <w:rPr>
          <w:rFonts w:hint="eastAsia" w:hAnsi="仿宋"/>
          <w:color w:val="000000"/>
          <w:sz w:val="24"/>
          <w:szCs w:val="28"/>
        </w:rPr>
        <w:t>授权日期：   年   月   日</w:t>
      </w:r>
    </w:p>
    <w:p>
      <w:pPr>
        <w:widowControl/>
        <w:rPr>
          <w:rFonts w:hAnsi="仿宋"/>
          <w:b/>
          <w:color w:val="000000"/>
          <w:sz w:val="28"/>
          <w:szCs w:val="28"/>
        </w:rPr>
        <w:sectPr>
          <w:pgSz w:w="11906" w:h="16838"/>
          <w:pgMar w:top="1928" w:right="1531" w:bottom="1928" w:left="1531" w:header="851" w:footer="992" w:gutter="0"/>
          <w:cols w:space="720" w:num="1"/>
          <w:docGrid w:type="lines" w:linePitch="317" w:charSpace="0"/>
        </w:sectPr>
      </w:pPr>
    </w:p>
    <w:p>
      <w:pPr>
        <w:pStyle w:val="4"/>
        <w:rPr>
          <w:rFonts w:ascii="仿宋_GB2312"/>
        </w:rPr>
      </w:pPr>
      <w:r>
        <w:rPr>
          <w:rFonts w:hint="eastAsia" w:ascii="仿宋_GB2312"/>
        </w:rPr>
        <w:t>四、比选申请人基本情况</w:t>
      </w:r>
    </w:p>
    <w:p>
      <w:pPr>
        <w:pStyle w:val="5"/>
      </w:pPr>
      <w:r>
        <w:rPr>
          <w:rFonts w:hint="eastAsia"/>
        </w:rPr>
        <w:t>（一）比选申请人基本情况表</w:t>
      </w:r>
    </w:p>
    <w:tbl>
      <w:tblPr>
        <w:tblStyle w:val="17"/>
        <w:tblW w:w="8520"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971"/>
        <w:gridCol w:w="1206"/>
        <w:gridCol w:w="1262"/>
        <w:gridCol w:w="1325"/>
        <w:gridCol w:w="161"/>
        <w:gridCol w:w="1017"/>
        <w:gridCol w:w="1076"/>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18"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比选申请人名称</w:t>
            </w:r>
          </w:p>
        </w:tc>
        <w:tc>
          <w:tcPr>
            <w:tcW w:w="7019" w:type="dxa"/>
            <w:gridSpan w:val="7"/>
            <w:tcBorders>
              <w:top w:val="single" w:color="000000" w:sz="18"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注册地址</w:t>
            </w:r>
          </w:p>
        </w:tc>
        <w:tc>
          <w:tcPr>
            <w:tcW w:w="3440" w:type="dxa"/>
            <w:gridSpan w:val="3"/>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325"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邮政编码</w:t>
            </w:r>
          </w:p>
        </w:tc>
        <w:tc>
          <w:tcPr>
            <w:tcW w:w="2254" w:type="dxa"/>
            <w:gridSpan w:val="3"/>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vMerge w:val="restart"/>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联系方式</w:t>
            </w:r>
          </w:p>
        </w:tc>
        <w:tc>
          <w:tcPr>
            <w:tcW w:w="972"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联系人</w:t>
            </w:r>
          </w:p>
        </w:tc>
        <w:tc>
          <w:tcPr>
            <w:tcW w:w="246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325"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电话</w:t>
            </w:r>
          </w:p>
        </w:tc>
        <w:tc>
          <w:tcPr>
            <w:tcW w:w="2254" w:type="dxa"/>
            <w:gridSpan w:val="3"/>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48" w:hRule="atLeast"/>
          <w:jc w:val="center"/>
        </w:trPr>
        <w:tc>
          <w:tcPr>
            <w:tcW w:w="1503" w:type="dxa"/>
            <w:vMerge w:val="continue"/>
            <w:tcBorders>
              <w:top w:val="single" w:color="000000" w:sz="6" w:space="0"/>
              <w:left w:val="single" w:color="000000" w:sz="18" w:space="0"/>
              <w:bottom w:val="single" w:color="000000" w:sz="6" w:space="0"/>
              <w:right w:val="single" w:color="000000" w:sz="6" w:space="0"/>
            </w:tcBorders>
            <w:vAlign w:val="center"/>
          </w:tcPr>
          <w:p>
            <w:pPr>
              <w:widowControl/>
              <w:rPr>
                <w:rFonts w:hAnsi="仿宋"/>
                <w:color w:val="000000"/>
                <w:sz w:val="24"/>
                <w:szCs w:val="24"/>
              </w:rPr>
            </w:pPr>
          </w:p>
        </w:tc>
        <w:tc>
          <w:tcPr>
            <w:tcW w:w="972"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传真</w:t>
            </w:r>
          </w:p>
        </w:tc>
        <w:tc>
          <w:tcPr>
            <w:tcW w:w="246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325"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网址</w:t>
            </w:r>
          </w:p>
        </w:tc>
        <w:tc>
          <w:tcPr>
            <w:tcW w:w="2254" w:type="dxa"/>
            <w:gridSpan w:val="3"/>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组织结构</w:t>
            </w:r>
          </w:p>
        </w:tc>
        <w:tc>
          <w:tcPr>
            <w:tcW w:w="7019" w:type="dxa"/>
            <w:gridSpan w:val="7"/>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法定代表人</w:t>
            </w:r>
          </w:p>
        </w:tc>
        <w:tc>
          <w:tcPr>
            <w:tcW w:w="972"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姓名</w:t>
            </w:r>
          </w:p>
        </w:tc>
        <w:tc>
          <w:tcPr>
            <w:tcW w:w="1206"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262"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技术职称</w:t>
            </w:r>
          </w:p>
        </w:tc>
        <w:tc>
          <w:tcPr>
            <w:tcW w:w="1325"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电话</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技术负责人</w:t>
            </w:r>
          </w:p>
        </w:tc>
        <w:tc>
          <w:tcPr>
            <w:tcW w:w="972"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姓名</w:t>
            </w:r>
          </w:p>
        </w:tc>
        <w:tc>
          <w:tcPr>
            <w:tcW w:w="1206"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262"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技术职称</w:t>
            </w:r>
          </w:p>
        </w:tc>
        <w:tc>
          <w:tcPr>
            <w:tcW w:w="1325" w:type="dxa"/>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电话</w:t>
            </w:r>
          </w:p>
        </w:tc>
        <w:tc>
          <w:tcPr>
            <w:tcW w:w="1076" w:type="dxa"/>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成立时间</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4841" w:type="dxa"/>
            <w:gridSpan w:val="5"/>
            <w:tcBorders>
              <w:top w:val="single" w:color="000000" w:sz="6" w:space="0"/>
              <w:left w:val="single" w:color="000000" w:sz="6" w:space="0"/>
              <w:bottom w:val="single" w:color="000000" w:sz="6" w:space="0"/>
              <w:right w:val="single" w:color="000000" w:sz="18" w:space="0"/>
            </w:tcBorders>
            <w:vAlign w:val="center"/>
          </w:tcPr>
          <w:p>
            <w:pPr>
              <w:spacing w:after="160" w:line="400" w:lineRule="exact"/>
              <w:ind w:firstLine="1470"/>
              <w:rPr>
                <w:rFonts w:hAnsi="仿宋"/>
                <w:color w:val="000000"/>
                <w:sz w:val="24"/>
                <w:szCs w:val="24"/>
              </w:rPr>
            </w:pPr>
            <w:r>
              <w:rPr>
                <w:rFonts w:hint="eastAsia" w:hAnsi="仿宋"/>
                <w:color w:val="000000"/>
                <w:sz w:val="24"/>
                <w:szCs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企业资质等级</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1262" w:type="dxa"/>
            <w:vMerge w:val="restart"/>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其中</w:t>
            </w: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lang w:val="en-US" w:eastAsia="zh-Hans"/>
              </w:rPr>
            </w:pPr>
            <w:r>
              <w:rPr>
                <w:rFonts w:hint="eastAsia" w:hAnsi="仿宋"/>
                <w:color w:val="000000"/>
                <w:sz w:val="24"/>
                <w:szCs w:val="24"/>
                <w:lang w:val="en-US" w:eastAsia="zh-Hans"/>
              </w:rPr>
              <w:t>设计人员</w:t>
            </w: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营业执照号</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hAnsi="仿宋"/>
                <w:color w:val="000000"/>
                <w:sz w:val="24"/>
                <w:szCs w:val="24"/>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lang w:val="en-US" w:eastAsia="zh-Hans"/>
              </w:rPr>
              <w:t>设计人员</w:t>
            </w: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注册资金</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hAnsi="仿宋"/>
                <w:color w:val="000000"/>
                <w:sz w:val="24"/>
                <w:szCs w:val="24"/>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lang w:val="en-US" w:eastAsia="zh-Hans"/>
              </w:rPr>
              <w:t>设计人员</w:t>
            </w: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开户银行</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hAnsi="仿宋"/>
                <w:color w:val="000000"/>
                <w:sz w:val="24"/>
                <w:szCs w:val="24"/>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账号</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hAnsi="仿宋"/>
                <w:color w:val="000000"/>
                <w:sz w:val="24"/>
                <w:szCs w:val="24"/>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spacing w:after="160" w:line="400" w:lineRule="exact"/>
              <w:rPr>
                <w:rFonts w:hAnsi="仿宋"/>
                <w:color w:val="000000"/>
                <w:sz w:val="24"/>
                <w:szCs w:val="24"/>
              </w:rPr>
            </w:pP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spacing w:after="160" w:line="400" w:lineRule="exact"/>
              <w:rPr>
                <w:rFonts w:hAnsi="仿宋"/>
                <w:color w:val="000000"/>
                <w:sz w:val="24"/>
                <w:szCs w:val="24"/>
              </w:rPr>
            </w:pPr>
            <w:r>
              <w:rPr>
                <w:rFonts w:hint="eastAsia" w:hAnsi="仿宋"/>
                <w:color w:val="000000"/>
                <w:sz w:val="24"/>
                <w:szCs w:val="24"/>
              </w:rPr>
              <w:t>经营范围</w:t>
            </w:r>
          </w:p>
        </w:tc>
        <w:tc>
          <w:tcPr>
            <w:tcW w:w="7019" w:type="dxa"/>
            <w:gridSpan w:val="7"/>
            <w:tcBorders>
              <w:top w:val="single" w:color="000000" w:sz="6" w:space="0"/>
              <w:left w:val="single" w:color="000000" w:sz="6" w:space="0"/>
              <w:bottom w:val="single" w:color="000000" w:sz="6" w:space="0"/>
              <w:right w:val="single" w:color="000000" w:sz="18" w:space="0"/>
            </w:tcBorders>
            <w:vAlign w:val="center"/>
          </w:tcPr>
          <w:p>
            <w:pPr>
              <w:spacing w:after="160" w:line="400" w:lineRule="exact"/>
              <w:rPr>
                <w:rFonts w:hAnsi="仿宋"/>
                <w:color w:val="000000"/>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1503" w:type="dxa"/>
            <w:tcBorders>
              <w:top w:val="single" w:color="000000" w:sz="6" w:space="0"/>
              <w:left w:val="single" w:color="000000" w:sz="18" w:space="0"/>
              <w:bottom w:val="single" w:color="000000" w:sz="18" w:space="0"/>
              <w:right w:val="single" w:color="000000" w:sz="6" w:space="0"/>
            </w:tcBorders>
          </w:tcPr>
          <w:p>
            <w:pPr>
              <w:spacing w:after="160" w:line="400" w:lineRule="exact"/>
              <w:rPr>
                <w:rFonts w:hAnsi="仿宋"/>
                <w:color w:val="000000"/>
                <w:sz w:val="24"/>
                <w:szCs w:val="24"/>
              </w:rPr>
            </w:pPr>
            <w:r>
              <w:rPr>
                <w:rFonts w:hint="eastAsia" w:hAnsi="仿宋"/>
                <w:color w:val="000000"/>
                <w:sz w:val="24"/>
                <w:szCs w:val="24"/>
              </w:rPr>
              <w:t>备注</w:t>
            </w:r>
          </w:p>
        </w:tc>
        <w:tc>
          <w:tcPr>
            <w:tcW w:w="7019" w:type="dxa"/>
            <w:gridSpan w:val="7"/>
            <w:tcBorders>
              <w:top w:val="single" w:color="000000" w:sz="6" w:space="0"/>
              <w:left w:val="single" w:color="000000" w:sz="6" w:space="0"/>
              <w:bottom w:val="single" w:color="000000" w:sz="18" w:space="0"/>
              <w:right w:val="single" w:color="000000" w:sz="18" w:space="0"/>
            </w:tcBorders>
          </w:tcPr>
          <w:p>
            <w:pPr>
              <w:spacing w:after="160" w:line="400" w:lineRule="exact"/>
              <w:rPr>
                <w:rFonts w:hAnsi="仿宋"/>
                <w:color w:val="000000"/>
                <w:sz w:val="24"/>
                <w:szCs w:val="24"/>
              </w:rPr>
            </w:pPr>
          </w:p>
        </w:tc>
      </w:tr>
    </w:tbl>
    <w:p>
      <w:pPr>
        <w:spacing w:line="360" w:lineRule="auto"/>
        <w:rPr>
          <w:rFonts w:hAnsi="仿宋"/>
          <w:sz w:val="24"/>
          <w:szCs w:val="28"/>
          <w:lang w:val="en-US"/>
        </w:rPr>
      </w:pPr>
      <w:r>
        <w:rPr>
          <w:rFonts w:hint="eastAsia" w:hAnsi="仿宋"/>
          <w:sz w:val="24"/>
          <w:szCs w:val="28"/>
          <w:lang w:val="en-US"/>
        </w:rPr>
        <w:t>备注：</w:t>
      </w:r>
    </w:p>
    <w:p>
      <w:pPr>
        <w:pStyle w:val="29"/>
        <w:numPr>
          <w:ilvl w:val="0"/>
          <w:numId w:val="5"/>
        </w:numPr>
        <w:spacing w:line="360" w:lineRule="auto"/>
        <w:ind w:firstLineChars="0"/>
        <w:rPr>
          <w:rFonts w:hAnsi="仿宋"/>
          <w:sz w:val="24"/>
          <w:szCs w:val="28"/>
        </w:rPr>
      </w:pPr>
      <w:r>
        <w:rPr>
          <w:rFonts w:hint="eastAsia" w:hAnsi="仿宋"/>
          <w:sz w:val="24"/>
          <w:szCs w:val="28"/>
          <w:lang w:val="en-US"/>
        </w:rPr>
        <w:t>本表后附有效的营业执照、基本账户开户许可证或基本存款帐户信息、公司资质证书的扫描件或复印件等；</w:t>
      </w:r>
    </w:p>
    <w:p>
      <w:pPr>
        <w:pStyle w:val="29"/>
        <w:numPr>
          <w:ilvl w:val="0"/>
          <w:numId w:val="5"/>
        </w:numPr>
        <w:spacing w:line="360" w:lineRule="auto"/>
        <w:ind w:firstLineChars="0"/>
        <w:rPr>
          <w:rFonts w:hAnsi="仿宋"/>
          <w:sz w:val="24"/>
          <w:szCs w:val="28"/>
        </w:rPr>
      </w:pPr>
      <w:r>
        <w:rPr>
          <w:rFonts w:hint="eastAsia" w:hAnsi="仿宋"/>
          <w:sz w:val="24"/>
          <w:szCs w:val="28"/>
          <w:lang w:val="en-US"/>
        </w:rPr>
        <w:t>企业实力排名截图（如有）、人力资源（如有）等其他内容；</w:t>
      </w:r>
    </w:p>
    <w:p>
      <w:pPr>
        <w:pStyle w:val="29"/>
        <w:numPr>
          <w:ilvl w:val="0"/>
          <w:numId w:val="5"/>
        </w:numPr>
        <w:spacing w:line="360" w:lineRule="auto"/>
        <w:ind w:firstLineChars="0"/>
        <w:rPr>
          <w:rFonts w:hAnsi="仿宋"/>
          <w:sz w:val="24"/>
          <w:szCs w:val="28"/>
          <w:lang w:val="en-US"/>
        </w:rPr>
      </w:pPr>
      <w:r>
        <w:rPr>
          <w:rFonts w:hint="eastAsia" w:hAnsi="仿宋"/>
          <w:sz w:val="24"/>
          <w:szCs w:val="28"/>
          <w:lang w:val="en-US"/>
        </w:rPr>
        <w:t>需提供近三年</w:t>
      </w:r>
      <w:r>
        <w:rPr>
          <w:rFonts w:hint="eastAsia" w:hAnsi="仿宋"/>
          <w:sz w:val="24"/>
          <w:szCs w:val="28"/>
        </w:rPr>
        <w:t>具有依法缴纳税收和社会保障资金的良好记录</w:t>
      </w:r>
      <w:r>
        <w:rPr>
          <w:rFonts w:hint="eastAsia" w:hAnsi="仿宋"/>
          <w:sz w:val="24"/>
          <w:szCs w:val="28"/>
          <w:lang w:val="en-US"/>
        </w:rPr>
        <w:t>证明材料。</w:t>
      </w:r>
    </w:p>
    <w:p>
      <w:pPr>
        <w:pStyle w:val="29"/>
        <w:numPr>
          <w:ilvl w:val="0"/>
          <w:numId w:val="5"/>
        </w:numPr>
        <w:spacing w:line="360" w:lineRule="auto"/>
        <w:ind w:firstLineChars="0"/>
        <w:rPr>
          <w:rFonts w:hAnsi="仿宋"/>
          <w:sz w:val="24"/>
          <w:szCs w:val="28"/>
          <w:lang w:val="en-US"/>
        </w:rPr>
        <w:sectPr>
          <w:footerReference r:id="rId4" w:type="default"/>
          <w:pgSz w:w="11906" w:h="16838"/>
          <w:pgMar w:top="1440" w:right="1800" w:bottom="1440" w:left="1800" w:header="851" w:footer="992" w:gutter="0"/>
          <w:cols w:space="425" w:num="1"/>
          <w:docGrid w:type="lines" w:linePitch="312" w:charSpace="0"/>
        </w:sectPr>
      </w:pPr>
    </w:p>
    <w:p>
      <w:pPr>
        <w:pStyle w:val="5"/>
      </w:pPr>
      <w:r>
        <w:rPr>
          <w:rFonts w:hint="eastAsia"/>
        </w:rPr>
        <w:t>（二）控股及管理关系等情况申报表</w:t>
      </w:r>
    </w:p>
    <w:p>
      <w:pPr>
        <w:autoSpaceDE/>
        <w:autoSpaceDN/>
        <w:adjustRightInd w:val="0"/>
        <w:snapToGrid w:val="0"/>
        <w:spacing w:line="440" w:lineRule="exact"/>
        <w:rPr>
          <w:rFonts w:hAnsi="宋体" w:cs="Times New Roman"/>
          <w:color w:val="000000"/>
          <w:kern w:val="2"/>
          <w:sz w:val="24"/>
          <w:szCs w:val="24"/>
          <w:lang w:val="en-US" w:bidi="ar-SA"/>
        </w:rPr>
      </w:pPr>
      <w:r>
        <w:rPr>
          <w:rFonts w:hint="eastAsia" w:hAnsi="宋体" w:cs="Times New Roman"/>
          <w:color w:val="000000"/>
          <w:kern w:val="2"/>
          <w:sz w:val="24"/>
          <w:szCs w:val="24"/>
          <w:lang w:val="en-US" w:bidi="ar-SA"/>
        </w:rPr>
        <w:t>致：</w:t>
      </w:r>
      <w:r>
        <w:rPr>
          <w:rFonts w:hint="eastAsia" w:hAnsi="宋体" w:cs="宋体"/>
          <w:bCs/>
          <w:color w:val="000000"/>
          <w:sz w:val="24"/>
          <w:szCs w:val="28"/>
          <w:lang w:val="en-US" w:bidi="ar-SA"/>
        </w:rPr>
        <w:t>四川蜀道物流集团有限公司、渠县蜀物致远物流发展有限公司</w:t>
      </w:r>
    </w:p>
    <w:p>
      <w:pPr>
        <w:autoSpaceDE/>
        <w:autoSpaceDN/>
        <w:adjustRightInd w:val="0"/>
        <w:snapToGrid w:val="0"/>
        <w:spacing w:line="440" w:lineRule="exact"/>
        <w:ind w:firstLine="480" w:firstLineChars="200"/>
        <w:rPr>
          <w:rFonts w:hAnsi="宋体" w:cs="Times New Roman"/>
          <w:color w:val="000000"/>
          <w:kern w:val="2"/>
          <w:sz w:val="24"/>
          <w:szCs w:val="24"/>
          <w:lang w:val="en-US" w:bidi="ar-SA"/>
        </w:rPr>
      </w:pPr>
      <w:r>
        <w:rPr>
          <w:rFonts w:hint="eastAsia" w:hAnsi="宋体" w:cs="Times New Roman"/>
          <w:color w:val="000000"/>
          <w:kern w:val="2"/>
          <w:sz w:val="24"/>
          <w:szCs w:val="24"/>
          <w:lang w:val="en-US" w:bidi="ar-SA"/>
        </w:rPr>
        <w:t>我方参加</w:t>
      </w:r>
      <w:r>
        <w:rPr>
          <w:rFonts w:hint="eastAsia" w:hAnsi="宋体" w:cs="Times New Roman"/>
          <w:color w:val="000000"/>
          <w:kern w:val="2"/>
          <w:sz w:val="24"/>
          <w:szCs w:val="24"/>
          <w:u w:val="single"/>
          <w:lang w:val="en-US" w:bidi="ar-SA"/>
        </w:rPr>
        <w:t xml:space="preserve">   </w:t>
      </w:r>
      <w:r>
        <w:rPr>
          <w:rFonts w:hAnsi="宋体" w:cs="Times New Roman"/>
          <w:color w:val="000000"/>
          <w:kern w:val="2"/>
          <w:sz w:val="24"/>
          <w:szCs w:val="24"/>
          <w:u w:val="single"/>
          <w:lang w:val="en-US" w:bidi="ar-SA"/>
        </w:rPr>
        <w:t xml:space="preserve">   </w:t>
      </w:r>
      <w:r>
        <w:rPr>
          <w:rFonts w:hint="eastAsia" w:hAnsi="宋体" w:cs="Times New Roman"/>
          <w:color w:val="000000"/>
          <w:kern w:val="2"/>
          <w:sz w:val="24"/>
          <w:szCs w:val="24"/>
          <w:u w:val="single"/>
          <w:lang w:val="en-US" w:bidi="ar-SA"/>
        </w:rPr>
        <w:t xml:space="preserve"> </w:t>
      </w:r>
      <w:r>
        <w:rPr>
          <w:rFonts w:hint="eastAsia" w:hAnsi="宋体" w:cs="Times New Roman"/>
          <w:color w:val="000000"/>
          <w:kern w:val="2"/>
          <w:sz w:val="24"/>
          <w:szCs w:val="24"/>
          <w:lang w:val="en-US" w:bidi="ar-SA"/>
        </w:rPr>
        <w:t>（项目名称）的参选，根据法律法规维护参选公正性的相关规定，特就本单位控股及管理关系情况申报如下，并承担申报不实的责任。</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1594"/>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85"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申报人名称</w:t>
            </w:r>
          </w:p>
        </w:tc>
        <w:tc>
          <w:tcPr>
            <w:tcW w:w="3715" w:type="pct"/>
            <w:gridSpan w:val="2"/>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Times New Roman"/>
                <w:bCs/>
                <w:color w:val="000000"/>
                <w:kern w:val="2"/>
                <w:sz w:val="24"/>
                <w:szCs w:val="24"/>
                <w:u w:val="single"/>
                <w:lang w:val="en-US" w:bidi="ar-SA"/>
              </w:rPr>
              <w:t>【XX公司[比选申请人名称]】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5" w:type="pct"/>
            <w:vMerge w:val="restar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法定代表人/单位负责人</w:t>
            </w:r>
          </w:p>
        </w:tc>
        <w:tc>
          <w:tcPr>
            <w:tcW w:w="935"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姓    名</w:t>
            </w:r>
          </w:p>
        </w:tc>
        <w:tc>
          <w:tcPr>
            <w:tcW w:w="2780"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Times New Roman"/>
                <w:color w:val="000000"/>
                <w:kern w:val="2"/>
                <w:sz w:val="24"/>
                <w:szCs w:val="24"/>
                <w:u w:val="single"/>
                <w:lang w:val="en-US" w:bidi="ar-SA"/>
              </w:rPr>
              <w:t>【XX [比选申请人法定代表人/负责人姓名]】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85" w:type="pct"/>
            <w:vMerge w:val="continue"/>
            <w:vAlign w:val="center"/>
          </w:tcPr>
          <w:p>
            <w:pPr>
              <w:autoSpaceDE/>
              <w:autoSpaceDN/>
              <w:adjustRightInd w:val="0"/>
              <w:snapToGrid w:val="0"/>
              <w:spacing w:line="440" w:lineRule="exact"/>
              <w:rPr>
                <w:rFonts w:hAnsi="宋体" w:cs="宋体"/>
                <w:color w:val="000000"/>
                <w:kern w:val="2"/>
                <w:sz w:val="24"/>
                <w:szCs w:val="24"/>
                <w:lang w:val="en-US" w:bidi="ar-SA"/>
              </w:rPr>
            </w:pPr>
          </w:p>
        </w:tc>
        <w:tc>
          <w:tcPr>
            <w:tcW w:w="935"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身份证号</w:t>
            </w:r>
          </w:p>
        </w:tc>
        <w:tc>
          <w:tcPr>
            <w:tcW w:w="2780"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Times New Roman"/>
                <w:color w:val="000000"/>
                <w:kern w:val="2"/>
                <w:sz w:val="24"/>
                <w:szCs w:val="24"/>
                <w:u w:val="single"/>
                <w:lang w:val="en-US" w:bidi="ar-SA"/>
              </w:rPr>
              <w:t>【XX [比选申请人法定代表人/负责人身份证号]】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85"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控股股东/投资人名称及出资比例</w:t>
            </w:r>
          </w:p>
        </w:tc>
        <w:tc>
          <w:tcPr>
            <w:tcW w:w="3715" w:type="pct"/>
            <w:gridSpan w:val="2"/>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Times New Roman"/>
                <w:bCs/>
                <w:color w:val="000000"/>
                <w:kern w:val="2"/>
                <w:sz w:val="24"/>
                <w:szCs w:val="24"/>
                <w:u w:val="single"/>
                <w:lang w:val="en-US" w:bidi="ar-SA"/>
              </w:rPr>
              <w:t>【XX公司/XX[自然人]，出资比例XX%，[</w:t>
            </w:r>
            <w:r>
              <w:rPr>
                <w:rFonts w:hint="eastAsia" w:hAnsi="宋体" w:cs="Times New Roman"/>
                <w:color w:val="000000"/>
                <w:kern w:val="2"/>
                <w:sz w:val="24"/>
                <w:szCs w:val="24"/>
                <w:u w:val="single"/>
                <w:lang w:val="en-US" w:bidi="ar-SA"/>
              </w:rPr>
              <w:t>比选申请</w:t>
            </w:r>
            <w:r>
              <w:rPr>
                <w:rFonts w:hint="eastAsia" w:hAnsi="宋体" w:cs="Times New Roman"/>
                <w:bCs/>
                <w:color w:val="000000"/>
                <w:kern w:val="2"/>
                <w:sz w:val="24"/>
                <w:szCs w:val="24"/>
                <w:u w:val="single"/>
                <w:lang w:val="en-US" w:bidi="ar-SA"/>
              </w:rPr>
              <w:t>人控股股东/投资人名称及出资比例]】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85"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非控股股东/投资人名称及出资比例</w:t>
            </w:r>
          </w:p>
        </w:tc>
        <w:tc>
          <w:tcPr>
            <w:tcW w:w="3715" w:type="pct"/>
            <w:gridSpan w:val="2"/>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Times New Roman"/>
                <w:bCs/>
                <w:color w:val="000000"/>
                <w:kern w:val="2"/>
                <w:sz w:val="24"/>
                <w:szCs w:val="24"/>
                <w:u w:val="single"/>
                <w:lang w:val="en-US" w:bidi="ar-SA"/>
              </w:rPr>
              <w:t>【XX公司/XX[自然人]，出资比例XX%，[</w:t>
            </w:r>
            <w:r>
              <w:rPr>
                <w:rFonts w:hint="eastAsia" w:hAnsi="宋体" w:cs="Times New Roman"/>
                <w:color w:val="000000"/>
                <w:kern w:val="2"/>
                <w:sz w:val="24"/>
                <w:szCs w:val="24"/>
                <w:u w:val="single"/>
                <w:lang w:val="en-US" w:bidi="ar-SA"/>
              </w:rPr>
              <w:t>比选申请</w:t>
            </w:r>
            <w:r>
              <w:rPr>
                <w:rFonts w:hint="eastAsia" w:hAnsi="宋体" w:cs="Times New Roman"/>
                <w:bCs/>
                <w:color w:val="000000"/>
                <w:kern w:val="2"/>
                <w:sz w:val="24"/>
                <w:szCs w:val="24"/>
                <w:u w:val="single"/>
                <w:lang w:val="en-US" w:bidi="ar-SA"/>
              </w:rPr>
              <w:t>人非控股股东/投资人名称及出资比例，应从出资比例由高到低进行填写]】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85" w:type="pct"/>
            <w:vMerge w:val="restar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管理关系单位名称</w:t>
            </w:r>
          </w:p>
        </w:tc>
        <w:tc>
          <w:tcPr>
            <w:tcW w:w="935"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管理关系单位名称</w:t>
            </w:r>
          </w:p>
        </w:tc>
        <w:tc>
          <w:tcPr>
            <w:tcW w:w="2780"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Times New Roman"/>
                <w:bCs/>
                <w:color w:val="000000"/>
                <w:kern w:val="2"/>
                <w:sz w:val="24"/>
                <w:szCs w:val="24"/>
                <w:u w:val="single"/>
                <w:lang w:val="en-US" w:bidi="ar-SA"/>
              </w:rPr>
              <w:t>【XX公司[管理单位全称]】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85" w:type="pct"/>
            <w:vMerge w:val="continue"/>
            <w:vAlign w:val="center"/>
          </w:tcPr>
          <w:p>
            <w:pPr>
              <w:autoSpaceDE/>
              <w:autoSpaceDN/>
              <w:adjustRightInd w:val="0"/>
              <w:snapToGrid w:val="0"/>
              <w:spacing w:line="440" w:lineRule="exact"/>
              <w:rPr>
                <w:rFonts w:hAnsi="宋体" w:cs="宋体"/>
                <w:color w:val="000000"/>
                <w:kern w:val="2"/>
                <w:sz w:val="24"/>
                <w:szCs w:val="24"/>
                <w:lang w:val="en-US" w:bidi="ar-SA"/>
              </w:rPr>
            </w:pPr>
          </w:p>
        </w:tc>
        <w:tc>
          <w:tcPr>
            <w:tcW w:w="935"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宋体"/>
                <w:color w:val="000000"/>
                <w:kern w:val="2"/>
                <w:sz w:val="24"/>
                <w:szCs w:val="24"/>
                <w:lang w:val="en-US" w:bidi="ar-SA"/>
              </w:rPr>
              <w:t>被管理关系单位名称</w:t>
            </w:r>
          </w:p>
        </w:tc>
        <w:tc>
          <w:tcPr>
            <w:tcW w:w="2780" w:type="pct"/>
            <w:vAlign w:val="center"/>
          </w:tcPr>
          <w:p>
            <w:pPr>
              <w:autoSpaceDE/>
              <w:autoSpaceDN/>
              <w:adjustRightInd w:val="0"/>
              <w:snapToGrid w:val="0"/>
              <w:spacing w:line="440" w:lineRule="exact"/>
              <w:rPr>
                <w:rFonts w:hAnsi="宋体" w:cs="宋体"/>
                <w:color w:val="000000"/>
                <w:kern w:val="2"/>
                <w:sz w:val="24"/>
                <w:szCs w:val="24"/>
                <w:lang w:val="en-US" w:bidi="ar-SA"/>
              </w:rPr>
            </w:pPr>
            <w:r>
              <w:rPr>
                <w:rFonts w:hint="eastAsia" w:hAnsi="宋体" w:cs="Times New Roman"/>
                <w:bCs/>
                <w:color w:val="000000"/>
                <w:kern w:val="2"/>
                <w:sz w:val="24"/>
                <w:szCs w:val="24"/>
                <w:u w:val="single"/>
                <w:lang w:val="en-US" w:bidi="ar-SA"/>
              </w:rPr>
              <w:t>【XX公司[被管理单位全称，应列明所有被管理单位]】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000" w:type="pct"/>
            <w:gridSpan w:val="3"/>
            <w:shd w:val="clear" w:color="auto" w:fill="auto"/>
            <w:vAlign w:val="center"/>
          </w:tcPr>
          <w:p>
            <w:pPr>
              <w:widowControl/>
              <w:autoSpaceDE/>
              <w:autoSpaceDN/>
              <w:spacing w:line="360" w:lineRule="auto"/>
              <w:rPr>
                <w:rFonts w:hAnsi="宋体" w:cs="宋体"/>
                <w:color w:val="000000"/>
                <w:sz w:val="24"/>
                <w:szCs w:val="28"/>
                <w:lang w:val="en-US" w:bidi="ar-SA"/>
              </w:rPr>
            </w:pPr>
            <w:r>
              <w:rPr>
                <w:rFonts w:hint="eastAsia" w:hAnsi="宋体" w:cs="宋体"/>
                <w:color w:val="000000"/>
                <w:kern w:val="2"/>
                <w:sz w:val="24"/>
                <w:szCs w:val="24"/>
                <w:lang w:val="en-US" w:bidi="ar-SA"/>
              </w:rPr>
              <w:t>其他需要额外说明的内容：</w:t>
            </w:r>
          </w:p>
        </w:tc>
      </w:tr>
    </w:tbl>
    <w:p>
      <w:pPr>
        <w:autoSpaceDE/>
        <w:autoSpaceDN/>
        <w:spacing w:line="276" w:lineRule="auto"/>
        <w:rPr>
          <w:rFonts w:hAnsi="宋体" w:cs="Times New Roman"/>
          <w:b/>
          <w:color w:val="000000"/>
          <w:kern w:val="2"/>
          <w:sz w:val="21"/>
          <w:szCs w:val="21"/>
          <w:lang w:val="en-US" w:bidi="ar-SA"/>
        </w:rPr>
      </w:pPr>
      <w:r>
        <w:rPr>
          <w:rFonts w:hint="eastAsia" w:hAnsi="仿宋"/>
          <w:sz w:val="24"/>
          <w:szCs w:val="28"/>
          <w:lang w:val="en-US"/>
        </w:rPr>
        <w:t>备注：</w:t>
      </w:r>
    </w:p>
    <w:p>
      <w:pPr>
        <w:autoSpaceDE/>
        <w:autoSpaceDN/>
        <w:spacing w:line="276" w:lineRule="auto"/>
        <w:ind w:firstLine="420" w:firstLineChars="200"/>
        <w:rPr>
          <w:rFonts w:hAnsi="宋体" w:cs="Times New Roman"/>
          <w:color w:val="000000"/>
          <w:kern w:val="2"/>
          <w:sz w:val="21"/>
          <w:szCs w:val="21"/>
          <w:lang w:val="en-US" w:bidi="ar-SA"/>
        </w:rPr>
      </w:pPr>
      <w:r>
        <w:rPr>
          <w:rFonts w:hint="eastAsia" w:hAnsi="宋体" w:cs="Times New Roman"/>
          <w:color w:val="000000"/>
          <w:kern w:val="2"/>
          <w:sz w:val="21"/>
          <w:szCs w:val="21"/>
          <w:lang w:val="en-US" w:bidi="ar-SA"/>
        </w:rPr>
        <w:t>1.控股股东/投资人是指出资比例在50%以上，或者出资比例不足50%，但享有公司股东会/董事会控制权的投资方（含单位或者个人）。</w:t>
      </w:r>
    </w:p>
    <w:p>
      <w:pPr>
        <w:autoSpaceDE/>
        <w:autoSpaceDN/>
        <w:spacing w:line="276" w:lineRule="auto"/>
        <w:ind w:firstLine="420" w:firstLineChars="200"/>
        <w:rPr>
          <w:rFonts w:hAnsi="宋体" w:cs="Times New Roman"/>
          <w:color w:val="000000"/>
          <w:kern w:val="2"/>
          <w:sz w:val="21"/>
          <w:szCs w:val="21"/>
          <w:lang w:val="en-US" w:bidi="ar-SA"/>
        </w:rPr>
      </w:pPr>
      <w:r>
        <w:rPr>
          <w:rFonts w:hint="eastAsia" w:hAnsi="宋体" w:cs="Times New Roman"/>
          <w:color w:val="000000"/>
          <w:kern w:val="2"/>
          <w:sz w:val="21"/>
          <w:szCs w:val="21"/>
          <w:lang w:val="en-US" w:bidi="ar-SA"/>
        </w:rPr>
        <w:t>管理关系单位是指与不具有出资持股关系的其他单位之间存在管理与被管理关系的单位。</w:t>
      </w:r>
    </w:p>
    <w:p>
      <w:pPr>
        <w:autoSpaceDE/>
        <w:autoSpaceDN/>
        <w:spacing w:line="276" w:lineRule="auto"/>
        <w:ind w:firstLine="420" w:firstLineChars="200"/>
        <w:rPr>
          <w:rFonts w:hAnsi="宋体" w:cs="Times New Roman"/>
          <w:color w:val="000000"/>
          <w:kern w:val="2"/>
          <w:sz w:val="21"/>
          <w:szCs w:val="21"/>
          <w:lang w:val="en-US" w:bidi="ar-SA"/>
        </w:rPr>
      </w:pPr>
      <w:r>
        <w:rPr>
          <w:rFonts w:hint="eastAsia" w:hAnsi="宋体" w:cs="Times New Roman"/>
          <w:color w:val="000000"/>
          <w:kern w:val="2"/>
          <w:sz w:val="21"/>
          <w:szCs w:val="21"/>
          <w:lang w:val="en-US" w:bidi="ar-SA"/>
        </w:rPr>
        <w:t>以上信息比选申请人应如实填写。如未有相关情况，请在相应栏中填写“ 无 ”。</w:t>
      </w:r>
    </w:p>
    <w:p>
      <w:pPr>
        <w:autoSpaceDE/>
        <w:autoSpaceDN/>
        <w:spacing w:line="276" w:lineRule="auto"/>
        <w:ind w:firstLine="420" w:firstLineChars="200"/>
        <w:rPr>
          <w:rFonts w:hAnsi="宋体" w:cs="宋体"/>
          <w:color w:val="000000"/>
          <w:kern w:val="2"/>
          <w:sz w:val="21"/>
          <w:szCs w:val="21"/>
          <w:lang w:val="en-US" w:bidi="ar-SA"/>
        </w:rPr>
      </w:pPr>
      <w:r>
        <w:rPr>
          <w:rFonts w:hint="eastAsia" w:hAnsi="宋体" w:cs="Times New Roman"/>
          <w:color w:val="000000"/>
          <w:kern w:val="2"/>
          <w:sz w:val="21"/>
          <w:szCs w:val="21"/>
          <w:lang w:val="en-US" w:bidi="ar-SA"/>
        </w:rPr>
        <w:t>2.比选申请</w:t>
      </w:r>
      <w:r>
        <w:rPr>
          <w:rFonts w:hint="eastAsia" w:hAnsi="宋体" w:cs="宋体"/>
          <w:color w:val="000000"/>
          <w:kern w:val="2"/>
          <w:sz w:val="21"/>
          <w:szCs w:val="21"/>
          <w:lang w:val="en-US" w:bidi="ar-SA"/>
        </w:rPr>
        <w:t>人提供信息弄虚作假的，其参选将被否决。</w:t>
      </w:r>
    </w:p>
    <w:p>
      <w:pPr>
        <w:pStyle w:val="2"/>
        <w:rPr>
          <w:rFonts w:ascii="仿宋_GB2312" w:eastAsia="仿宋_GB2312"/>
          <w:lang w:val="en-US" w:bidi="ar-SA"/>
        </w:rPr>
      </w:pPr>
    </w:p>
    <w:p>
      <w:pPr>
        <w:pStyle w:val="2"/>
        <w:rPr>
          <w:rFonts w:ascii="仿宋_GB2312" w:eastAsia="仿宋_GB2312"/>
          <w:lang w:val="en-US" w:bidi="ar-SA"/>
        </w:rPr>
      </w:pPr>
    </w:p>
    <w:p>
      <w:pPr>
        <w:spacing w:line="360" w:lineRule="auto"/>
        <w:rPr>
          <w:rFonts w:hAnsi="仿宋" w:cs="宋体"/>
          <w:sz w:val="24"/>
          <w:szCs w:val="28"/>
        </w:rPr>
      </w:pPr>
      <w:r>
        <w:rPr>
          <w:rFonts w:hint="eastAsia" w:hAnsi="仿宋" w:cs="宋体"/>
          <w:sz w:val="24"/>
          <w:szCs w:val="28"/>
        </w:rPr>
        <w:t>比选申请人（盖章）：</w:t>
      </w:r>
    </w:p>
    <w:p>
      <w:pPr>
        <w:spacing w:line="360" w:lineRule="auto"/>
        <w:rPr>
          <w:rFonts w:hAnsi="仿宋" w:cs="宋体"/>
          <w:sz w:val="24"/>
          <w:szCs w:val="28"/>
        </w:rPr>
      </w:pPr>
      <w:r>
        <w:rPr>
          <w:rFonts w:hint="eastAsia" w:hAnsi="仿宋" w:cs="宋体"/>
          <w:sz w:val="24"/>
          <w:szCs w:val="28"/>
        </w:rPr>
        <w:t>法定代表人/负责人或其授权代表（签字）：</w:t>
      </w:r>
    </w:p>
    <w:p>
      <w:pPr>
        <w:spacing w:line="360" w:lineRule="auto"/>
        <w:rPr>
          <w:rFonts w:hAnsi="仿宋" w:cs="宋体"/>
          <w:sz w:val="24"/>
          <w:szCs w:val="28"/>
        </w:rPr>
        <w:sectPr>
          <w:pgSz w:w="11906" w:h="16838"/>
          <w:pgMar w:top="1440" w:right="1800" w:bottom="1440" w:left="1800" w:header="851" w:footer="992" w:gutter="0"/>
          <w:cols w:space="425" w:num="1"/>
          <w:docGrid w:type="lines" w:linePitch="312" w:charSpace="0"/>
        </w:sectPr>
      </w:pPr>
      <w:r>
        <w:rPr>
          <w:rFonts w:hint="eastAsia" w:hAnsi="仿宋" w:cs="宋体"/>
          <w:sz w:val="24"/>
          <w:szCs w:val="28"/>
        </w:rPr>
        <w:t>日    期：</w:t>
      </w:r>
    </w:p>
    <w:p>
      <w:pPr>
        <w:pStyle w:val="5"/>
      </w:pPr>
      <w:r>
        <w:rPr>
          <w:rFonts w:hint="eastAsia"/>
        </w:rPr>
        <w:t>（三）信誉承诺函</w:t>
      </w:r>
    </w:p>
    <w:p>
      <w:pPr>
        <w:autoSpaceDE/>
        <w:autoSpaceDN/>
        <w:adjustRightInd w:val="0"/>
        <w:snapToGrid w:val="0"/>
        <w:spacing w:line="440" w:lineRule="exact"/>
        <w:rPr>
          <w:rFonts w:hAnsi="宋体" w:cs="Times New Roman"/>
          <w:color w:val="000000"/>
          <w:kern w:val="2"/>
          <w:sz w:val="24"/>
          <w:szCs w:val="24"/>
          <w:lang w:val="en-US" w:bidi="ar-SA"/>
        </w:rPr>
      </w:pPr>
      <w:r>
        <w:rPr>
          <w:rFonts w:hint="eastAsia" w:hAnsi="宋体" w:cs="Times New Roman"/>
          <w:color w:val="000000"/>
          <w:kern w:val="2"/>
          <w:sz w:val="24"/>
          <w:szCs w:val="24"/>
          <w:lang w:val="en-US" w:bidi="ar-SA"/>
        </w:rPr>
        <w:t>致：</w:t>
      </w:r>
      <w:r>
        <w:rPr>
          <w:rFonts w:hint="eastAsia" w:hAnsi="宋体" w:cs="宋体"/>
          <w:bCs/>
          <w:color w:val="000000"/>
          <w:sz w:val="24"/>
          <w:szCs w:val="28"/>
          <w:lang w:val="en-US" w:bidi="ar-SA"/>
        </w:rPr>
        <w:t>四川蜀道物流集团有限公司、渠县蜀物致远物流发展有限公司</w:t>
      </w:r>
    </w:p>
    <w:p>
      <w:pPr>
        <w:autoSpaceDE/>
        <w:autoSpaceDN/>
        <w:adjustRightInd w:val="0"/>
        <w:snapToGrid w:val="0"/>
        <w:spacing w:line="440" w:lineRule="exact"/>
        <w:ind w:firstLine="720" w:firstLineChars="300"/>
        <w:rPr>
          <w:rFonts w:hAnsi="仿宋" w:cs="Times New Roman"/>
          <w:color w:val="000000"/>
          <w:sz w:val="24"/>
          <w:szCs w:val="24"/>
          <w:lang w:val="en-US"/>
        </w:rPr>
      </w:pPr>
      <w:r>
        <w:rPr>
          <w:rFonts w:hint="eastAsia" w:hAnsi="仿宋" w:cs="Times New Roman"/>
          <w:color w:val="000000"/>
          <w:sz w:val="24"/>
          <w:szCs w:val="24"/>
          <w:lang w:val="en-US"/>
        </w:rPr>
        <w:t>我方郑重承诺：</w:t>
      </w:r>
    </w:p>
    <w:p>
      <w:pPr>
        <w:spacing w:line="360" w:lineRule="auto"/>
        <w:ind w:firstLine="480" w:firstLineChars="200"/>
        <w:rPr>
          <w:rFonts w:hAnsi="Times New Roman" w:cs="Times New Roman"/>
          <w:kern w:val="2"/>
          <w:sz w:val="24"/>
          <w:szCs w:val="24"/>
          <w:lang w:val="en-US" w:bidi="ar-SA"/>
        </w:rPr>
      </w:pPr>
      <w:r>
        <w:rPr>
          <w:rFonts w:hint="eastAsia" w:hAnsi="宋体" w:cs="宋体"/>
          <w:kern w:val="2"/>
          <w:sz w:val="24"/>
          <w:szCs w:val="24"/>
          <w:lang w:val="en-US" w:bidi="ar-SA"/>
        </w:rPr>
        <w:t>①</w:t>
      </w:r>
      <w:r>
        <w:rPr>
          <w:rFonts w:hint="eastAsia" w:hAnsi="Times New Roman" w:cs="Times New Roman"/>
          <w:kern w:val="2"/>
          <w:sz w:val="24"/>
          <w:szCs w:val="24"/>
          <w:lang w:val="en-US" w:bidi="ar-SA"/>
        </w:rPr>
        <w:t>在国家企业信用信息公示系统（http//</w:t>
      </w:r>
      <w:r>
        <w:fldChar w:fldCharType="begin"/>
      </w:r>
      <w:r>
        <w:instrText xml:space="preserve"> HYPERLINK "http://www.gsxt.gov.cn/" \h </w:instrText>
      </w:r>
      <w:r>
        <w:fldChar w:fldCharType="separate"/>
      </w:r>
      <w:r>
        <w:rPr>
          <w:rFonts w:hint="eastAsia" w:hAnsi="Times New Roman" w:cs="Times New Roman"/>
          <w:kern w:val="2"/>
          <w:sz w:val="24"/>
          <w:szCs w:val="24"/>
          <w:lang w:val="en-US" w:bidi="ar-SA"/>
        </w:rPr>
        <w:t>www.gsxt.gov.cn</w:t>
      </w:r>
      <w:r>
        <w:rPr>
          <w:rFonts w:hint="eastAsia" w:hAnsi="Times New Roman" w:cs="Times New Roman"/>
          <w:kern w:val="2"/>
          <w:sz w:val="24"/>
          <w:szCs w:val="24"/>
          <w:lang w:val="en-US" w:bidi="ar-SA"/>
        </w:rPr>
        <w:fldChar w:fldCharType="end"/>
      </w:r>
      <w:r>
        <w:rPr>
          <w:rFonts w:hint="eastAsia" w:hAnsi="Times New Roman" w:cs="Times New Roman"/>
          <w:kern w:val="2"/>
          <w:sz w:val="24"/>
          <w:szCs w:val="24"/>
          <w:lang w:val="en-US" w:bidi="ar-SA"/>
        </w:rPr>
        <w:t>）中未被列入严重违法失信企业名单；</w:t>
      </w:r>
    </w:p>
    <w:p>
      <w:pPr>
        <w:spacing w:line="360" w:lineRule="auto"/>
        <w:ind w:firstLine="480" w:firstLineChars="200"/>
        <w:rPr>
          <w:rFonts w:hAnsi="Times New Roman" w:cs="Times New Roman"/>
          <w:kern w:val="2"/>
          <w:sz w:val="24"/>
          <w:szCs w:val="24"/>
          <w:lang w:val="en-US" w:bidi="ar-SA"/>
        </w:rPr>
      </w:pPr>
      <w:r>
        <w:rPr>
          <w:rFonts w:hint="eastAsia" w:hAnsi="宋体" w:cs="宋体"/>
          <w:kern w:val="2"/>
          <w:sz w:val="24"/>
          <w:szCs w:val="24"/>
          <w:lang w:val="en-US" w:bidi="ar-SA"/>
        </w:rPr>
        <w:t>②</w:t>
      </w:r>
      <w:r>
        <w:rPr>
          <w:rFonts w:hint="eastAsia" w:hAnsi="Times New Roman" w:cs="Times New Roman"/>
          <w:kern w:val="2"/>
          <w:sz w:val="24"/>
          <w:szCs w:val="24"/>
          <w:lang w:val="en-US" w:bidi="ar-SA"/>
        </w:rPr>
        <w:t>在“信用中国”网站（https://www.creditchina.gov.cn/）中未被列入失信被执行人名单（通过“信用中国”-“信用服务”-“失信被执行人”- “中国执行信息公开网”查询）；</w:t>
      </w:r>
    </w:p>
    <w:p>
      <w:pPr>
        <w:spacing w:line="360" w:lineRule="auto"/>
        <w:ind w:firstLine="480" w:firstLineChars="200"/>
        <w:rPr>
          <w:rFonts w:hAnsi="Times New Roman" w:cs="Times New Roman"/>
          <w:kern w:val="2"/>
          <w:sz w:val="24"/>
          <w:szCs w:val="24"/>
          <w:lang w:val="en-US" w:bidi="ar-SA"/>
        </w:rPr>
      </w:pPr>
      <w:r>
        <w:rPr>
          <w:rFonts w:hint="eastAsia" w:hAnsi="宋体" w:cs="宋体"/>
          <w:kern w:val="2"/>
          <w:sz w:val="24"/>
          <w:szCs w:val="24"/>
          <w:lang w:val="en-US" w:bidi="ar-SA"/>
        </w:rPr>
        <w:t>③</w:t>
      </w:r>
      <w:r>
        <w:rPr>
          <w:rFonts w:hint="eastAsia" w:hAnsi="Times New Roman" w:cs="Times New Roman"/>
          <w:kern w:val="2"/>
          <w:sz w:val="24"/>
          <w:szCs w:val="24"/>
          <w:lang w:val="en-US" w:bidi="ar-SA"/>
        </w:rPr>
        <w:t>比选申请人及法定代表人、拟委任的项目负责人近三年（2020年1月1日至比选申请文件递交截止时间前一天）均无行贿犯罪档案记录（通过“中国裁判文书网”网站（https://wenshu.court.gov.cn/）-“高级检索”-“案由”-“刑事案由”-“贪污贿赂罪”查询）。</w:t>
      </w:r>
    </w:p>
    <w:p>
      <w:pPr>
        <w:spacing w:line="360" w:lineRule="auto"/>
        <w:ind w:firstLine="480" w:firstLineChars="200"/>
        <w:rPr>
          <w:rFonts w:hAnsi="Times New Roman" w:cs="Times New Roman"/>
          <w:kern w:val="2"/>
          <w:sz w:val="24"/>
          <w:szCs w:val="24"/>
          <w:lang w:val="en-US" w:bidi="ar-SA"/>
        </w:rPr>
      </w:pPr>
      <w:r>
        <w:rPr>
          <w:rFonts w:hint="eastAsia" w:hAnsi="Times New Roman" w:cs="Times New Roman"/>
          <w:kern w:val="2"/>
          <w:sz w:val="24"/>
          <w:szCs w:val="24"/>
          <w:lang w:val="en-US" w:bidi="ar-SA"/>
        </w:rPr>
        <w:t>上述内容如经比选人在参选截止日查询结果不符的，使得我方的资格条件不符合比选文件规定的，评审小组应否决我方参选，同时比选人可不予退还我方的参选保证金。若在中选合同签订之前发现我单位或法定代表人或项目负责人在上述期间存在行贿犯罪（包括行贿罪、单位行贿罪、对单位行贿罪、介绍贿赂罪等）的，可取消我单位中选候选人或中选人资格。若在合同执行期间发现我单位或法定代表人或项目负责人在上述期间存在行贿犯罪的，可从合同款中扣除签约合同价的5%作为违约金。</w:t>
      </w:r>
    </w:p>
    <w:p>
      <w:pPr>
        <w:pStyle w:val="2"/>
        <w:rPr>
          <w:rFonts w:ascii="仿宋_GB2312" w:eastAsia="仿宋_GB2312"/>
          <w:lang w:val="en-US"/>
        </w:rPr>
      </w:pPr>
    </w:p>
    <w:p>
      <w:pPr>
        <w:pStyle w:val="2"/>
        <w:rPr>
          <w:rFonts w:ascii="仿宋_GB2312" w:eastAsia="仿宋_GB2312"/>
          <w:lang w:val="en-US"/>
        </w:rPr>
      </w:pPr>
    </w:p>
    <w:p>
      <w:pPr>
        <w:spacing w:line="360" w:lineRule="auto"/>
        <w:rPr>
          <w:rFonts w:hAnsi="仿宋" w:cs="宋体"/>
          <w:sz w:val="24"/>
          <w:szCs w:val="28"/>
        </w:rPr>
      </w:pPr>
      <w:r>
        <w:rPr>
          <w:rFonts w:hint="eastAsia" w:hAnsi="仿宋" w:cs="宋体"/>
          <w:sz w:val="24"/>
          <w:szCs w:val="28"/>
        </w:rPr>
        <w:t>比选申请人（盖章）：</w:t>
      </w:r>
    </w:p>
    <w:p>
      <w:pPr>
        <w:spacing w:line="360" w:lineRule="auto"/>
        <w:rPr>
          <w:rFonts w:hAnsi="仿宋" w:cs="宋体"/>
          <w:sz w:val="24"/>
          <w:szCs w:val="28"/>
        </w:rPr>
      </w:pPr>
      <w:r>
        <w:rPr>
          <w:rFonts w:hint="eastAsia" w:hAnsi="仿宋" w:cs="宋体"/>
          <w:sz w:val="24"/>
          <w:szCs w:val="28"/>
        </w:rPr>
        <w:t>法定代表人/负责人或其授权代表（签字）：</w:t>
      </w:r>
    </w:p>
    <w:p>
      <w:pPr>
        <w:spacing w:line="360" w:lineRule="auto"/>
        <w:rPr>
          <w:rFonts w:hAnsi="仿宋" w:cs="宋体"/>
          <w:sz w:val="24"/>
          <w:szCs w:val="28"/>
        </w:rPr>
      </w:pPr>
      <w:r>
        <w:rPr>
          <w:rFonts w:hint="eastAsia" w:hAnsi="仿宋" w:cs="宋体"/>
          <w:sz w:val="24"/>
          <w:szCs w:val="28"/>
        </w:rPr>
        <w:t>日    期：</w:t>
      </w:r>
    </w:p>
    <w:p>
      <w:pPr>
        <w:pStyle w:val="2"/>
        <w:rPr>
          <w:rFonts w:ascii="仿宋_GB2312" w:eastAsia="仿宋_GB2312"/>
        </w:rPr>
      </w:pPr>
    </w:p>
    <w:p>
      <w:pPr>
        <w:pStyle w:val="2"/>
        <w:rPr>
          <w:rFonts w:ascii="仿宋_GB2312" w:eastAsia="仿宋_GB2312"/>
        </w:rPr>
      </w:pPr>
    </w:p>
    <w:p>
      <w:pPr>
        <w:spacing w:line="360" w:lineRule="auto"/>
        <w:rPr>
          <w:rFonts w:hAnsi="Times New Roman" w:cs="Times New Roman"/>
          <w:kern w:val="2"/>
          <w:sz w:val="24"/>
          <w:szCs w:val="24"/>
          <w:lang w:val="en-US" w:bidi="ar-SA"/>
        </w:rPr>
        <w:sectPr>
          <w:pgSz w:w="11906" w:h="16838"/>
          <w:pgMar w:top="1440" w:right="1800" w:bottom="1440" w:left="1800" w:header="851" w:footer="992" w:gutter="0"/>
          <w:cols w:space="425" w:num="1"/>
          <w:docGrid w:type="lines" w:linePitch="312" w:charSpace="0"/>
        </w:sectPr>
      </w:pPr>
      <w:r>
        <w:rPr>
          <w:rFonts w:hint="eastAsia" w:hAnsi="Times New Roman" w:cs="Times New Roman"/>
          <w:kern w:val="2"/>
          <w:sz w:val="24"/>
          <w:szCs w:val="24"/>
          <w:lang w:val="en-US" w:bidi="ar-SA"/>
        </w:rPr>
        <w:t>备注：比选申请人</w:t>
      </w:r>
      <w:r>
        <w:rPr>
          <w:rFonts w:hint="eastAsia" w:hAnsi="Times New Roman" w:cs="Times New Roman"/>
          <w:b/>
          <w:kern w:val="2"/>
          <w:sz w:val="24"/>
          <w:szCs w:val="24"/>
          <w:lang w:val="en-US" w:bidi="ar-SA"/>
        </w:rPr>
        <w:t>需要在本承诺函后附各网站查询结果</w:t>
      </w:r>
      <w:r>
        <w:rPr>
          <w:rFonts w:hint="eastAsia" w:hAnsi="Times New Roman" w:cs="Times New Roman"/>
          <w:kern w:val="2"/>
          <w:sz w:val="24"/>
          <w:szCs w:val="24"/>
          <w:lang w:val="en-US" w:bidi="ar-SA"/>
        </w:rPr>
        <w:t>。</w:t>
      </w:r>
    </w:p>
    <w:p>
      <w:pPr>
        <w:pStyle w:val="5"/>
      </w:pPr>
      <w:r>
        <w:rPr>
          <w:rFonts w:hint="eastAsia"/>
        </w:rPr>
        <w:t>（四）近三年在经营活动中无违法违规记录的声明</w:t>
      </w:r>
    </w:p>
    <w:p>
      <w:pPr>
        <w:spacing w:after="160" w:line="360" w:lineRule="auto"/>
        <w:rPr>
          <w:rFonts w:hAnsi="仿宋"/>
          <w:color w:val="000000"/>
          <w:sz w:val="28"/>
          <w:szCs w:val="28"/>
        </w:rPr>
      </w:pPr>
    </w:p>
    <w:p>
      <w:pPr>
        <w:snapToGrid w:val="0"/>
        <w:spacing w:after="160" w:line="360" w:lineRule="auto"/>
        <w:ind w:left="480" w:hanging="480"/>
        <w:rPr>
          <w:rFonts w:hAnsi="仿宋"/>
          <w:color w:val="000000"/>
          <w:sz w:val="24"/>
          <w:szCs w:val="28"/>
        </w:rPr>
      </w:pPr>
      <w:r>
        <w:rPr>
          <w:rFonts w:hint="eastAsia" w:hAnsi="宋体" w:cs="Times New Roman"/>
          <w:color w:val="000000"/>
          <w:kern w:val="2"/>
          <w:sz w:val="24"/>
          <w:szCs w:val="24"/>
          <w:lang w:val="en-US" w:bidi="ar-SA"/>
        </w:rPr>
        <w:t>致：</w:t>
      </w:r>
      <w:r>
        <w:rPr>
          <w:rFonts w:hint="eastAsia" w:hAnsi="宋体" w:cs="宋体"/>
          <w:bCs/>
          <w:color w:val="000000"/>
          <w:sz w:val="24"/>
          <w:szCs w:val="28"/>
          <w:lang w:val="en-US" w:bidi="ar-SA"/>
        </w:rPr>
        <w:t>四川蜀道物流集团有限公司、渠县蜀物致远物流发展有限公司</w:t>
      </w:r>
    </w:p>
    <w:p>
      <w:pPr>
        <w:spacing w:line="360" w:lineRule="auto"/>
        <w:ind w:firstLine="424" w:firstLineChars="177"/>
        <w:rPr>
          <w:rFonts w:hAnsi="仿宋"/>
          <w:color w:val="000000"/>
          <w:sz w:val="24"/>
          <w:szCs w:val="28"/>
        </w:rPr>
      </w:pPr>
      <w:r>
        <w:rPr>
          <w:rFonts w:hint="eastAsia" w:hAnsi="仿宋"/>
          <w:color w:val="000000"/>
          <w:sz w:val="24"/>
          <w:szCs w:val="28"/>
        </w:rPr>
        <w:t>本公司</w:t>
      </w:r>
      <w:r>
        <w:rPr>
          <w:rFonts w:hint="eastAsia" w:hAnsi="仿宋"/>
          <w:color w:val="000000"/>
          <w:sz w:val="24"/>
          <w:szCs w:val="28"/>
          <w:u w:val="single"/>
        </w:rPr>
        <w:t xml:space="preserve">                     </w:t>
      </w:r>
      <w:r>
        <w:rPr>
          <w:rFonts w:hint="eastAsia" w:hAnsi="仿宋"/>
          <w:color w:val="000000"/>
          <w:sz w:val="24"/>
          <w:szCs w:val="28"/>
        </w:rPr>
        <w:t>（公司名称）参加</w:t>
      </w:r>
      <w:r>
        <w:rPr>
          <w:rFonts w:hint="eastAsia" w:hAnsi="仿宋"/>
          <w:color w:val="000000"/>
          <w:sz w:val="24"/>
          <w:szCs w:val="28"/>
          <w:u w:val="single"/>
        </w:rPr>
        <w:t xml:space="preserve">                 </w:t>
      </w:r>
      <w:r>
        <w:rPr>
          <w:rFonts w:hint="eastAsia" w:hAnsi="仿宋"/>
          <w:color w:val="000000"/>
          <w:sz w:val="24"/>
          <w:szCs w:val="28"/>
        </w:rPr>
        <w:t>（项目名称）的参选活动，现承诺我公司在参加本次比选活动前三年内，在经营活动中没有重大违法记录。</w:t>
      </w:r>
    </w:p>
    <w:p>
      <w:pPr>
        <w:spacing w:line="360" w:lineRule="auto"/>
        <w:ind w:firstLine="424" w:firstLineChars="177"/>
        <w:rPr>
          <w:rFonts w:hAnsi="仿宋"/>
          <w:color w:val="000000"/>
          <w:sz w:val="24"/>
          <w:szCs w:val="28"/>
        </w:rPr>
      </w:pPr>
      <w:r>
        <w:rPr>
          <w:rFonts w:hint="eastAsia" w:hAnsi="仿宋"/>
          <w:color w:val="000000"/>
          <w:sz w:val="24"/>
          <w:szCs w:val="28"/>
        </w:rPr>
        <w:t>如违反以上承诺，本公司愿承担一切法律责任。</w:t>
      </w:r>
    </w:p>
    <w:p>
      <w:pPr>
        <w:pStyle w:val="2"/>
      </w:pPr>
    </w:p>
    <w:p>
      <w:pPr>
        <w:pStyle w:val="2"/>
      </w:pPr>
    </w:p>
    <w:p>
      <w:pPr>
        <w:spacing w:line="360" w:lineRule="auto"/>
        <w:rPr>
          <w:rFonts w:hAnsi="仿宋" w:cs="宋体"/>
          <w:sz w:val="24"/>
          <w:szCs w:val="28"/>
        </w:rPr>
      </w:pPr>
      <w:r>
        <w:rPr>
          <w:rFonts w:hint="eastAsia" w:hAnsi="仿宋" w:cs="宋体"/>
          <w:sz w:val="24"/>
          <w:szCs w:val="28"/>
        </w:rPr>
        <w:t>比选申请人（盖章）：</w:t>
      </w:r>
    </w:p>
    <w:p>
      <w:pPr>
        <w:spacing w:line="360" w:lineRule="auto"/>
        <w:rPr>
          <w:rFonts w:hAnsi="仿宋" w:cs="宋体"/>
          <w:sz w:val="24"/>
          <w:szCs w:val="28"/>
        </w:rPr>
      </w:pPr>
      <w:r>
        <w:rPr>
          <w:rFonts w:hint="eastAsia" w:hAnsi="仿宋" w:cs="宋体"/>
          <w:sz w:val="24"/>
          <w:szCs w:val="28"/>
        </w:rPr>
        <w:t>法定代表人/负责人或其授权代表（签字）：</w:t>
      </w:r>
    </w:p>
    <w:p>
      <w:pPr>
        <w:spacing w:line="360" w:lineRule="auto"/>
        <w:rPr>
          <w:rFonts w:hAnsi="Times New Roman" w:cs="Times New Roman"/>
          <w:kern w:val="2"/>
          <w:sz w:val="24"/>
          <w:szCs w:val="24"/>
          <w:lang w:val="en-US" w:bidi="ar-SA"/>
        </w:rPr>
      </w:pPr>
      <w:r>
        <w:rPr>
          <w:rFonts w:hint="eastAsia" w:hAnsi="仿宋" w:cs="宋体"/>
          <w:sz w:val="24"/>
          <w:szCs w:val="28"/>
        </w:rPr>
        <w:t>日    期：</w:t>
      </w:r>
    </w:p>
    <w:p>
      <w:pPr>
        <w:pStyle w:val="4"/>
        <w:rPr>
          <w:rFonts w:ascii="仿宋_GB2312"/>
          <w:lang w:val="en-US"/>
        </w:rPr>
        <w:sectPr>
          <w:pgSz w:w="11906" w:h="16838"/>
          <w:pgMar w:top="1440" w:right="1800" w:bottom="1440" w:left="1800" w:header="851" w:footer="992" w:gutter="0"/>
          <w:cols w:space="425" w:num="1"/>
          <w:docGrid w:type="lines" w:linePitch="312" w:charSpace="0"/>
        </w:sectPr>
      </w:pPr>
    </w:p>
    <w:p>
      <w:pPr>
        <w:pStyle w:val="4"/>
        <w:rPr>
          <w:rFonts w:ascii="仿宋_GB2312"/>
        </w:rPr>
      </w:pPr>
      <w:r>
        <w:rPr>
          <w:rFonts w:hint="eastAsia" w:ascii="仿宋_GB2312"/>
        </w:rPr>
        <w:t>五、业绩情况表</w:t>
      </w:r>
    </w:p>
    <w:p>
      <w:pPr>
        <w:jc w:val="center"/>
        <w:rPr>
          <w:b/>
          <w:sz w:val="24"/>
        </w:rPr>
      </w:pPr>
      <w:r>
        <w:rPr>
          <w:rFonts w:hint="eastAsia"/>
          <w:b/>
          <w:sz w:val="24"/>
        </w:rPr>
        <w:t>类似项目业绩汇总表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01"/>
        <w:gridCol w:w="1483"/>
        <w:gridCol w:w="1418"/>
        <w:gridCol w:w="1418"/>
        <w:gridCol w:w="1534"/>
        <w:gridCol w:w="1503"/>
        <w:gridCol w:w="1894"/>
        <w:gridCol w:w="143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jc w:val="center"/>
              <w:rPr>
                <w:rFonts w:ascii="仿宋_GB2312" w:eastAsia="仿宋_GB2312"/>
                <w:sz w:val="24"/>
                <w:szCs w:val="24"/>
              </w:rPr>
            </w:pPr>
            <w:r>
              <w:rPr>
                <w:rFonts w:hint="eastAsia" w:ascii="仿宋_GB2312" w:eastAsia="仿宋_GB2312"/>
                <w:sz w:val="24"/>
                <w:szCs w:val="24"/>
              </w:rPr>
              <w:t>序号</w:t>
            </w:r>
          </w:p>
        </w:tc>
        <w:tc>
          <w:tcPr>
            <w:tcW w:w="600" w:type="pct"/>
            <w:vAlign w:val="center"/>
          </w:tcPr>
          <w:p>
            <w:pPr>
              <w:pStyle w:val="2"/>
              <w:jc w:val="center"/>
              <w:rPr>
                <w:rFonts w:ascii="仿宋_GB2312" w:eastAsia="仿宋_GB2312"/>
                <w:sz w:val="24"/>
                <w:szCs w:val="24"/>
              </w:rPr>
            </w:pPr>
            <w:r>
              <w:rPr>
                <w:rFonts w:hint="eastAsia" w:ascii="仿宋_GB2312" w:eastAsia="仿宋_GB2312"/>
                <w:sz w:val="24"/>
                <w:szCs w:val="24"/>
              </w:rPr>
              <w:t>合同名称</w:t>
            </w:r>
          </w:p>
        </w:tc>
        <w:tc>
          <w:tcPr>
            <w:tcW w:w="523" w:type="pct"/>
            <w:vAlign w:val="center"/>
          </w:tcPr>
          <w:p>
            <w:pPr>
              <w:pStyle w:val="2"/>
              <w:jc w:val="center"/>
              <w:rPr>
                <w:rFonts w:ascii="仿宋_GB2312" w:eastAsia="仿宋_GB2312"/>
                <w:sz w:val="24"/>
                <w:szCs w:val="24"/>
              </w:rPr>
            </w:pPr>
            <w:r>
              <w:rPr>
                <w:rFonts w:hint="eastAsia" w:ascii="仿宋_GB2312" w:eastAsia="仿宋_GB2312"/>
                <w:sz w:val="24"/>
                <w:szCs w:val="24"/>
              </w:rPr>
              <w:t>合同主要内容</w:t>
            </w:r>
          </w:p>
        </w:tc>
        <w:tc>
          <w:tcPr>
            <w:tcW w:w="500" w:type="pct"/>
            <w:vAlign w:val="center"/>
          </w:tcPr>
          <w:p>
            <w:pPr>
              <w:pStyle w:val="2"/>
              <w:jc w:val="center"/>
              <w:rPr>
                <w:rFonts w:ascii="仿宋_GB2312" w:eastAsia="仿宋_GB2312"/>
                <w:sz w:val="24"/>
                <w:szCs w:val="24"/>
              </w:rPr>
            </w:pPr>
            <w:r>
              <w:rPr>
                <w:rFonts w:hint="eastAsia" w:ascii="仿宋_GB2312" w:eastAsia="仿宋_GB2312"/>
                <w:sz w:val="24"/>
                <w:szCs w:val="24"/>
              </w:rPr>
              <w:t>签订合同时间</w:t>
            </w:r>
          </w:p>
        </w:tc>
        <w:tc>
          <w:tcPr>
            <w:tcW w:w="500" w:type="pct"/>
            <w:vAlign w:val="center"/>
          </w:tcPr>
          <w:p>
            <w:pPr>
              <w:pStyle w:val="2"/>
              <w:jc w:val="center"/>
              <w:rPr>
                <w:rFonts w:ascii="仿宋_GB2312" w:eastAsia="仿宋_GB2312"/>
                <w:sz w:val="24"/>
                <w:szCs w:val="24"/>
              </w:rPr>
            </w:pPr>
            <w:r>
              <w:rPr>
                <w:rFonts w:hint="eastAsia" w:ascii="仿宋_GB2312" w:eastAsia="仿宋_GB2312"/>
                <w:sz w:val="24"/>
                <w:szCs w:val="24"/>
              </w:rPr>
              <w:t>开工日期</w:t>
            </w:r>
          </w:p>
        </w:tc>
        <w:tc>
          <w:tcPr>
            <w:tcW w:w="541" w:type="pct"/>
            <w:vAlign w:val="center"/>
          </w:tcPr>
          <w:p>
            <w:pPr>
              <w:pStyle w:val="2"/>
              <w:jc w:val="center"/>
              <w:rPr>
                <w:rFonts w:ascii="仿宋_GB2312" w:eastAsia="仿宋_GB2312"/>
                <w:sz w:val="24"/>
                <w:szCs w:val="24"/>
                <w:highlight w:val="yellow"/>
              </w:rPr>
            </w:pPr>
            <w:r>
              <w:rPr>
                <w:rFonts w:hint="eastAsia" w:ascii="仿宋_GB2312" w:eastAsia="仿宋_GB2312"/>
                <w:sz w:val="24"/>
                <w:szCs w:val="24"/>
              </w:rPr>
              <w:t>交工日期</w:t>
            </w:r>
          </w:p>
        </w:tc>
        <w:tc>
          <w:tcPr>
            <w:tcW w:w="530" w:type="pct"/>
            <w:vAlign w:val="center"/>
          </w:tcPr>
          <w:p>
            <w:pPr>
              <w:pStyle w:val="2"/>
              <w:jc w:val="center"/>
              <w:rPr>
                <w:rFonts w:ascii="仿宋_GB2312" w:eastAsia="仿宋_GB2312"/>
                <w:sz w:val="24"/>
                <w:szCs w:val="24"/>
                <w:highlight w:val="yellow"/>
              </w:rPr>
            </w:pPr>
            <w:r>
              <w:rPr>
                <w:rFonts w:hint="eastAsia" w:ascii="仿宋_GB2312" w:eastAsia="仿宋_GB2312"/>
                <w:sz w:val="24"/>
                <w:szCs w:val="24"/>
              </w:rPr>
              <w:t>竣工日期</w:t>
            </w:r>
          </w:p>
        </w:tc>
        <w:tc>
          <w:tcPr>
            <w:tcW w:w="668" w:type="pct"/>
            <w:vAlign w:val="center"/>
          </w:tcPr>
          <w:p>
            <w:pPr>
              <w:spacing w:line="244" w:lineRule="auto"/>
              <w:ind w:left="145" w:right="32" w:hanging="104"/>
              <w:jc w:val="center"/>
              <w:rPr>
                <w:sz w:val="24"/>
                <w:szCs w:val="24"/>
              </w:rPr>
            </w:pPr>
            <w:r>
              <w:rPr>
                <w:rFonts w:hint="eastAsia" w:hAnsi="宋体" w:cs="宋体"/>
                <w:sz w:val="24"/>
                <w:szCs w:val="24"/>
              </w:rPr>
              <w:t>审计范围内的投资金额或送审金额（人民币，万元）</w:t>
            </w:r>
          </w:p>
        </w:tc>
        <w:tc>
          <w:tcPr>
            <w:tcW w:w="507" w:type="pct"/>
            <w:vAlign w:val="center"/>
          </w:tcPr>
          <w:p>
            <w:pPr>
              <w:pStyle w:val="2"/>
              <w:jc w:val="center"/>
              <w:rPr>
                <w:rFonts w:ascii="仿宋_GB2312" w:eastAsia="仿宋_GB2312"/>
                <w:sz w:val="24"/>
                <w:szCs w:val="24"/>
              </w:rPr>
            </w:pPr>
            <w:r>
              <w:rPr>
                <w:rFonts w:hint="eastAsia" w:ascii="仿宋_GB2312" w:eastAsia="仿宋_GB2312"/>
                <w:sz w:val="24"/>
                <w:szCs w:val="24"/>
              </w:rPr>
              <w:t>发包人（委托单位）名称、联系人及电话</w:t>
            </w:r>
          </w:p>
        </w:tc>
        <w:tc>
          <w:tcPr>
            <w:tcW w:w="426" w:type="pct"/>
            <w:vAlign w:val="center"/>
          </w:tcPr>
          <w:p>
            <w:pPr>
              <w:pStyle w:val="2"/>
              <w:jc w:val="center"/>
              <w:rPr>
                <w:rFonts w:ascii="仿宋_GB2312" w:eastAsia="仿宋_GB2312"/>
                <w:sz w:val="24"/>
                <w:szCs w:val="24"/>
              </w:rPr>
            </w:pPr>
            <w:r>
              <w:rPr>
                <w:rFonts w:hint="eastAsia" w:ascii="仿宋_GB2312" w:eastAsia="仿宋_GB2312"/>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1</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2</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3</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4</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5</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 w:type="pct"/>
            <w:vAlign w:val="center"/>
          </w:tcPr>
          <w:p>
            <w:pPr>
              <w:pStyle w:val="2"/>
              <w:rPr>
                <w:rFonts w:ascii="仿宋_GB2312" w:eastAsia="仿宋_GB2312"/>
                <w:sz w:val="24"/>
                <w:szCs w:val="24"/>
              </w:rPr>
            </w:pPr>
            <w:r>
              <w:rPr>
                <w:rFonts w:hint="eastAsia" w:ascii="仿宋_GB2312" w:eastAsia="仿宋_GB2312"/>
                <w:sz w:val="24"/>
                <w:szCs w:val="24"/>
              </w:rPr>
              <w:t>…</w:t>
            </w:r>
          </w:p>
        </w:tc>
        <w:tc>
          <w:tcPr>
            <w:tcW w:w="600" w:type="pct"/>
            <w:vAlign w:val="center"/>
          </w:tcPr>
          <w:p>
            <w:pPr>
              <w:pStyle w:val="2"/>
              <w:rPr>
                <w:rFonts w:ascii="仿宋_GB2312" w:eastAsia="仿宋_GB2312"/>
                <w:sz w:val="24"/>
                <w:szCs w:val="24"/>
              </w:rPr>
            </w:pPr>
          </w:p>
        </w:tc>
        <w:tc>
          <w:tcPr>
            <w:tcW w:w="523"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00" w:type="pct"/>
            <w:vAlign w:val="center"/>
          </w:tcPr>
          <w:p>
            <w:pPr>
              <w:pStyle w:val="2"/>
              <w:rPr>
                <w:rFonts w:ascii="仿宋_GB2312" w:eastAsia="仿宋_GB2312"/>
                <w:sz w:val="24"/>
                <w:szCs w:val="24"/>
              </w:rPr>
            </w:pPr>
          </w:p>
        </w:tc>
        <w:tc>
          <w:tcPr>
            <w:tcW w:w="541" w:type="pct"/>
            <w:vAlign w:val="center"/>
          </w:tcPr>
          <w:p>
            <w:pPr>
              <w:pStyle w:val="2"/>
              <w:rPr>
                <w:rFonts w:ascii="仿宋_GB2312" w:eastAsia="仿宋_GB2312"/>
                <w:sz w:val="24"/>
                <w:szCs w:val="24"/>
              </w:rPr>
            </w:pPr>
          </w:p>
        </w:tc>
        <w:tc>
          <w:tcPr>
            <w:tcW w:w="530" w:type="pct"/>
            <w:vAlign w:val="center"/>
          </w:tcPr>
          <w:p>
            <w:pPr>
              <w:pStyle w:val="2"/>
              <w:rPr>
                <w:rFonts w:ascii="仿宋_GB2312" w:eastAsia="仿宋_GB2312"/>
                <w:sz w:val="24"/>
                <w:szCs w:val="24"/>
              </w:rPr>
            </w:pPr>
          </w:p>
        </w:tc>
        <w:tc>
          <w:tcPr>
            <w:tcW w:w="668" w:type="pct"/>
            <w:vAlign w:val="center"/>
          </w:tcPr>
          <w:p>
            <w:pPr>
              <w:pStyle w:val="2"/>
              <w:rPr>
                <w:rFonts w:ascii="仿宋_GB2312" w:eastAsia="仿宋_GB2312"/>
                <w:sz w:val="24"/>
                <w:szCs w:val="24"/>
              </w:rPr>
            </w:pPr>
          </w:p>
        </w:tc>
        <w:tc>
          <w:tcPr>
            <w:tcW w:w="507" w:type="pct"/>
            <w:vAlign w:val="center"/>
          </w:tcPr>
          <w:p>
            <w:pPr>
              <w:pStyle w:val="2"/>
              <w:rPr>
                <w:rFonts w:ascii="仿宋_GB2312" w:eastAsia="仿宋_GB2312"/>
                <w:sz w:val="24"/>
                <w:szCs w:val="24"/>
              </w:rPr>
            </w:pPr>
          </w:p>
        </w:tc>
        <w:tc>
          <w:tcPr>
            <w:tcW w:w="426" w:type="pct"/>
            <w:vAlign w:val="center"/>
          </w:tcPr>
          <w:p>
            <w:pPr>
              <w:pStyle w:val="2"/>
              <w:rPr>
                <w:rFonts w:ascii="仿宋_GB2312" w:eastAsia="仿宋_GB2312"/>
                <w:sz w:val="24"/>
                <w:szCs w:val="24"/>
              </w:rPr>
            </w:pPr>
          </w:p>
        </w:tc>
      </w:tr>
    </w:tbl>
    <w:p>
      <w:pPr>
        <w:spacing w:line="360" w:lineRule="auto"/>
        <w:rPr>
          <w:rFonts w:hAnsi="仿宋" w:cs="宋体"/>
          <w:sz w:val="24"/>
          <w:szCs w:val="28"/>
        </w:rPr>
      </w:pPr>
      <w:r>
        <w:rPr>
          <w:rFonts w:hint="eastAsia" w:hAnsi="仿宋" w:cs="宋体"/>
          <w:sz w:val="24"/>
          <w:szCs w:val="28"/>
        </w:rPr>
        <w:t>比选申请人（盖章）：</w:t>
      </w:r>
    </w:p>
    <w:p>
      <w:pPr>
        <w:spacing w:line="360" w:lineRule="auto"/>
        <w:rPr>
          <w:rFonts w:hAnsi="仿宋" w:cs="宋体"/>
          <w:sz w:val="24"/>
          <w:szCs w:val="28"/>
        </w:rPr>
      </w:pPr>
      <w:r>
        <w:rPr>
          <w:rFonts w:hint="eastAsia" w:hAnsi="仿宋" w:cs="宋体"/>
          <w:sz w:val="24"/>
          <w:szCs w:val="28"/>
        </w:rPr>
        <w:t>法定代表人/负责人或其授权代表（签字）：</w:t>
      </w:r>
    </w:p>
    <w:p>
      <w:pPr>
        <w:spacing w:line="360" w:lineRule="auto"/>
        <w:rPr>
          <w:sz w:val="21"/>
        </w:rPr>
      </w:pPr>
      <w:r>
        <w:rPr>
          <w:rFonts w:hint="eastAsia" w:hAnsi="仿宋" w:cs="宋体"/>
          <w:sz w:val="24"/>
          <w:szCs w:val="28"/>
        </w:rPr>
        <w:t>日    期：</w:t>
      </w:r>
    </w:p>
    <w:p>
      <w:pPr>
        <w:pStyle w:val="2"/>
        <w:rPr>
          <w:rFonts w:ascii="仿宋_GB2312" w:eastAsia="仿宋_GB2312"/>
          <w:sz w:val="21"/>
        </w:rPr>
      </w:pP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备注：</w:t>
      </w:r>
    </w:p>
    <w:p>
      <w:pPr>
        <w:pStyle w:val="2"/>
        <w:rPr>
          <w:rFonts w:ascii="仿宋_GB2312" w:eastAsia="仿宋_GB2312"/>
          <w:sz w:val="21"/>
        </w:rPr>
      </w:pPr>
      <w:r>
        <w:rPr>
          <w:rFonts w:hint="eastAsia" w:ascii="仿宋_GB2312" w:eastAsia="仿宋_GB2312"/>
          <w:sz w:val="21"/>
        </w:rPr>
        <w:t>1.本表填报的“类似业绩”应满足比选文件要求。</w:t>
      </w:r>
    </w:p>
    <w:p>
      <w:pPr>
        <w:pStyle w:val="2"/>
        <w:rPr>
          <w:rFonts w:ascii="仿宋_GB2312" w:eastAsia="仿宋_GB2312"/>
          <w:sz w:val="21"/>
        </w:rPr>
      </w:pPr>
      <w:r>
        <w:rPr>
          <w:rFonts w:hint="eastAsia" w:ascii="仿宋_GB2312" w:eastAsia="仿宋_GB2312"/>
          <w:sz w:val="21"/>
        </w:rPr>
        <w:t>2.</w:t>
      </w:r>
      <w:r>
        <w:rPr>
          <w:rFonts w:hint="eastAsia" w:ascii="仿宋_GB2312" w:eastAsia="仿宋_GB2312"/>
          <w:sz w:val="21"/>
        </w:rPr>
        <w:tab/>
      </w:r>
      <w:r>
        <w:rPr>
          <w:rFonts w:hint="eastAsia" w:ascii="仿宋_GB2312" w:eastAsia="仿宋_GB2312"/>
          <w:sz w:val="21"/>
        </w:rPr>
        <w:t>根据本项目类似业绩的特点，表中的“开工日期”是指签订合同协议书或委托协议书的日期；“交工日期” 是指完成报告初稿时间；“竣工日期”是指提交最终报告的时间。没有交工日期、竣工日期，填“无”。</w:t>
      </w:r>
    </w:p>
    <w:p>
      <w:pPr>
        <w:pStyle w:val="2"/>
        <w:rPr>
          <w:rFonts w:ascii="仿宋_GB2312" w:eastAsia="仿宋_GB2312"/>
          <w:sz w:val="21"/>
        </w:rPr>
      </w:pPr>
      <w:r>
        <w:rPr>
          <w:rFonts w:hint="eastAsia" w:ascii="仿宋_GB2312" w:eastAsia="仿宋_GB2312"/>
          <w:sz w:val="21"/>
        </w:rPr>
        <w:t>3.</w:t>
      </w:r>
      <w:r>
        <w:rPr>
          <w:rFonts w:hint="eastAsia" w:ascii="仿宋_GB2312" w:eastAsia="仿宋_GB2312"/>
          <w:sz w:val="21"/>
        </w:rPr>
        <w:tab/>
      </w:r>
      <w:r>
        <w:rPr>
          <w:rFonts w:hint="eastAsia" w:ascii="仿宋_GB2312" w:eastAsia="仿宋_GB2312"/>
          <w:sz w:val="21"/>
        </w:rPr>
        <w:t>日期（ 年 月 日）的格式统一以阿拉伯数字表示。如：2022年9月1日，填写为20220901；2022年9月，填写为202209。</w:t>
      </w:r>
    </w:p>
    <w:p>
      <w:pPr>
        <w:pStyle w:val="2"/>
        <w:rPr>
          <w:rFonts w:ascii="仿宋_GB2312" w:eastAsia="仿宋_GB2312"/>
          <w:sz w:val="21"/>
        </w:rPr>
      </w:pPr>
      <w:r>
        <w:rPr>
          <w:rFonts w:hint="eastAsia" w:ascii="仿宋_GB2312" w:eastAsia="仿宋_GB2312"/>
          <w:sz w:val="21"/>
        </w:rPr>
        <w:t>4.本表后附业绩证明材料，有效业绩证明材料认定要求：</w:t>
      </w:r>
    </w:p>
    <w:p>
      <w:pPr>
        <w:pStyle w:val="2"/>
        <w:ind w:firstLine="424" w:firstLineChars="202"/>
        <w:rPr>
          <w:rFonts w:ascii="仿宋_GB2312" w:eastAsia="仿宋_GB2312"/>
          <w:sz w:val="21"/>
        </w:rPr>
      </w:pPr>
      <w:r>
        <w:rPr>
          <w:rFonts w:hint="eastAsia" w:ascii="仿宋_GB2312" w:eastAsia="仿宋_GB2312"/>
          <w:sz w:val="21"/>
        </w:rPr>
        <w:t>1）项目合同协议书或发包人（委托单位）出具的书面证明材料以及其他证明材料：每一个合同应提供合同原件的主要信息页面包含：合同封面、合同标的页、合同金额页、合同签章页（大签页）等页面的复印件，复印件应清晰、不得有涂改痕迹。如果上述证明材料不能反映诸如类似项目、送审金额等与资格要求有关的要点信息（该要点信息在评审时将有助于资格审查或评分的判别），</w:t>
      </w:r>
      <w:r>
        <w:rPr>
          <w:rFonts w:hint="eastAsia" w:ascii="仿宋_GB2312" w:eastAsia="仿宋_GB2312"/>
          <w:sz w:val="21"/>
          <w:lang w:val="en-US"/>
        </w:rPr>
        <w:t>可附合同审计项目的定案表，或</w:t>
      </w:r>
      <w:r>
        <w:rPr>
          <w:rFonts w:hint="eastAsia" w:ascii="仿宋_GB2312" w:eastAsia="仿宋_GB2312"/>
          <w:sz w:val="21"/>
        </w:rPr>
        <w:t>发包人（或国家审计机关（部门））出具的其它证明材料进行补充及完善。签署合同单位或被委托单位名称必须与比选申请人单位名称保持一致；</w:t>
      </w:r>
    </w:p>
    <w:p>
      <w:pPr>
        <w:pStyle w:val="2"/>
        <w:ind w:firstLine="424" w:firstLineChars="202"/>
        <w:rPr>
          <w:rFonts w:ascii="仿宋_GB2312" w:eastAsia="仿宋_GB2312"/>
          <w:sz w:val="21"/>
        </w:rPr>
      </w:pPr>
      <w:r>
        <w:rPr>
          <w:rFonts w:hint="eastAsia" w:ascii="仿宋_GB2312" w:eastAsia="仿宋_GB2312"/>
          <w:sz w:val="21"/>
        </w:rPr>
        <w:t>2）时间确认：以签订合同时间或委托时间为准；</w:t>
      </w:r>
    </w:p>
    <w:p>
      <w:pPr>
        <w:pStyle w:val="2"/>
        <w:ind w:firstLine="424" w:firstLineChars="202"/>
        <w:rPr>
          <w:rFonts w:ascii="仿宋_GB2312" w:eastAsia="仿宋_GB2312"/>
          <w:sz w:val="21"/>
        </w:rPr>
      </w:pPr>
      <w:r>
        <w:rPr>
          <w:rFonts w:hint="eastAsia" w:ascii="仿宋_GB2312" w:eastAsia="仿宋_GB2312"/>
          <w:sz w:val="21"/>
        </w:rPr>
        <w:t>3）若近年来，比选申请人法人机构发生合法变更或重组或法人名称变更时，应提供相关部门的合法批文或其他相关证明材料来证明其所附业绩的继承性；如涉及企业分、合的，应提供相关部门的合法批件或其他相关证明；</w:t>
      </w:r>
    </w:p>
    <w:p>
      <w:pPr>
        <w:pStyle w:val="2"/>
        <w:ind w:firstLine="424" w:firstLineChars="202"/>
        <w:rPr>
          <w:rFonts w:ascii="仿宋_GB2312" w:eastAsia="仿宋_GB2312"/>
          <w:sz w:val="21"/>
        </w:rPr>
      </w:pPr>
      <w:r>
        <w:rPr>
          <w:rFonts w:hint="eastAsia" w:ascii="仿宋_GB2312" w:eastAsia="仿宋_GB2312"/>
          <w:sz w:val="21"/>
        </w:rPr>
        <w:t>4）总公司参选使用其下属分公司签订的合同业绩时，应提供隶属关系证明文件，如营业执照、审计报告附注等相关证明材料；无证明材料的合同不计入有效业绩范围；</w:t>
      </w:r>
    </w:p>
    <w:p>
      <w:pPr>
        <w:pStyle w:val="2"/>
        <w:ind w:firstLine="424" w:firstLineChars="202"/>
        <w:rPr>
          <w:rFonts w:ascii="仿宋_GB2312" w:eastAsia="仿宋_GB2312"/>
          <w:sz w:val="21"/>
        </w:rPr>
      </w:pPr>
      <w:r>
        <w:rPr>
          <w:rFonts w:hint="eastAsia" w:ascii="仿宋_GB2312" w:eastAsia="仿宋_GB2312"/>
          <w:sz w:val="21"/>
        </w:rPr>
        <w:t>5）如未按要求附证明材料、或所要求的信息描述不清晰的、或签署合同单位或被委托单位名称与比选申请人单位名称不一致（本附注第4）条原因除外），视为无效业绩。</w:t>
      </w:r>
    </w:p>
    <w:p>
      <w:pPr>
        <w:pStyle w:val="2"/>
        <w:rPr>
          <w:rFonts w:ascii="仿宋_GB2312" w:eastAsia="仿宋_GB2312"/>
          <w:sz w:val="21"/>
        </w:rPr>
      </w:pPr>
      <w:r>
        <w:rPr>
          <w:rFonts w:hint="eastAsia" w:ascii="仿宋_GB2312" w:eastAsia="仿宋_GB2312"/>
          <w:sz w:val="21"/>
        </w:rPr>
        <w:t>5.只有符合本章规定的合同业绩才为有效业绩，有效业绩金额未达到比选公告中要求的将被否决。</w:t>
      </w:r>
    </w:p>
    <w:p>
      <w:pPr>
        <w:pStyle w:val="2"/>
        <w:rPr>
          <w:rFonts w:ascii="仿宋_GB2312" w:eastAsia="仿宋_GB2312"/>
          <w:sz w:val="21"/>
        </w:rPr>
      </w:pPr>
      <w:r>
        <w:rPr>
          <w:rFonts w:hint="eastAsia" w:ascii="仿宋_GB2312" w:eastAsia="仿宋_GB2312"/>
          <w:sz w:val="21"/>
        </w:rPr>
        <w:t>6.凡比选申请人合同资料造假，该比选申请人本次参选全部均按照提供虚假资料处理，其参选将予以否决。</w:t>
      </w:r>
    </w:p>
    <w:p>
      <w:pPr>
        <w:pStyle w:val="4"/>
        <w:rPr>
          <w:rFonts w:ascii="仿宋_GB2312"/>
        </w:rPr>
        <w:sectPr>
          <w:pgSz w:w="16838" w:h="11906" w:orient="landscape"/>
          <w:pgMar w:top="1800" w:right="1440" w:bottom="1800" w:left="1440" w:header="851" w:footer="992" w:gutter="0"/>
          <w:cols w:space="425" w:num="1"/>
          <w:docGrid w:type="lines" w:linePitch="312" w:charSpace="0"/>
        </w:sectPr>
      </w:pPr>
    </w:p>
    <w:p>
      <w:pPr>
        <w:pStyle w:val="4"/>
        <w:rPr>
          <w:rFonts w:ascii="仿宋_GB2312"/>
        </w:rPr>
      </w:pPr>
      <w:r>
        <w:rPr>
          <w:rFonts w:hint="eastAsia" w:ascii="仿宋_GB2312"/>
        </w:rPr>
        <w:t>六、项目小组构成及成员基本情况</w:t>
      </w:r>
    </w:p>
    <w:p>
      <w:pPr>
        <w:pStyle w:val="5"/>
      </w:pPr>
      <w:r>
        <w:rPr>
          <w:rFonts w:hint="eastAsia"/>
        </w:rPr>
        <w:t>（一）拟投入人员基本情况表</w:t>
      </w:r>
    </w:p>
    <w:tbl>
      <w:tblPr>
        <w:tblStyle w:val="17"/>
        <w:tblW w:w="5000" w:type="pct"/>
        <w:tblInd w:w="0" w:type="dxa"/>
        <w:tblLayout w:type="autofit"/>
        <w:tblCellMar>
          <w:top w:w="0" w:type="dxa"/>
          <w:left w:w="108" w:type="dxa"/>
          <w:bottom w:w="0" w:type="dxa"/>
          <w:right w:w="108" w:type="dxa"/>
        </w:tblCellMar>
      </w:tblPr>
      <w:tblGrid>
        <w:gridCol w:w="816"/>
        <w:gridCol w:w="1701"/>
        <w:gridCol w:w="1418"/>
        <w:gridCol w:w="1417"/>
        <w:gridCol w:w="1770"/>
        <w:gridCol w:w="1400"/>
      </w:tblGrid>
      <w:tr>
        <w:tblPrEx>
          <w:tblCellMar>
            <w:top w:w="0" w:type="dxa"/>
            <w:left w:w="108" w:type="dxa"/>
            <w:bottom w:w="0" w:type="dxa"/>
            <w:right w:w="108" w:type="dxa"/>
          </w:tblCellMar>
        </w:tblPrEx>
        <w:trPr>
          <w:trHeight w:val="876" w:hRule="atLeast"/>
        </w:trPr>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序号</w:t>
            </w:r>
          </w:p>
        </w:tc>
        <w:tc>
          <w:tcPr>
            <w:tcW w:w="998"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拟在本项目担任的职务</w:t>
            </w:r>
          </w:p>
        </w:tc>
        <w:tc>
          <w:tcPr>
            <w:tcW w:w="832"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姓名</w:t>
            </w:r>
          </w:p>
        </w:tc>
        <w:tc>
          <w:tcPr>
            <w:tcW w:w="831"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职称</w:t>
            </w:r>
          </w:p>
        </w:tc>
        <w:tc>
          <w:tcPr>
            <w:tcW w:w="1038"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执业资格证书及编号</w:t>
            </w:r>
          </w:p>
        </w:tc>
        <w:tc>
          <w:tcPr>
            <w:tcW w:w="821"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工作经历</w:t>
            </w:r>
          </w:p>
        </w:tc>
      </w:tr>
      <w:tr>
        <w:tblPrEx>
          <w:tblCellMar>
            <w:top w:w="0" w:type="dxa"/>
            <w:left w:w="108" w:type="dxa"/>
            <w:bottom w:w="0" w:type="dxa"/>
            <w:right w:w="108" w:type="dxa"/>
          </w:tblCellMar>
        </w:tblPrEx>
        <w:trPr>
          <w:trHeight w:val="300"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1</w:t>
            </w:r>
          </w:p>
        </w:tc>
        <w:tc>
          <w:tcPr>
            <w:tcW w:w="998" w:type="pct"/>
            <w:tcBorders>
              <w:top w:val="nil"/>
              <w:left w:val="nil"/>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项目负责人</w:t>
            </w:r>
          </w:p>
        </w:tc>
        <w:tc>
          <w:tcPr>
            <w:tcW w:w="832"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103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c>
          <w:tcPr>
            <w:tcW w:w="82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r>
      <w:tr>
        <w:tblPrEx>
          <w:tblCellMar>
            <w:top w:w="0" w:type="dxa"/>
            <w:left w:w="108" w:type="dxa"/>
            <w:bottom w:w="0" w:type="dxa"/>
            <w:right w:w="108" w:type="dxa"/>
          </w:tblCellMar>
        </w:tblPrEx>
        <w:trPr>
          <w:trHeight w:val="300"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2</w:t>
            </w:r>
          </w:p>
        </w:tc>
        <w:tc>
          <w:tcPr>
            <w:tcW w:w="99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2"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103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c>
          <w:tcPr>
            <w:tcW w:w="82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r>
      <w:tr>
        <w:tblPrEx>
          <w:tblCellMar>
            <w:top w:w="0" w:type="dxa"/>
            <w:left w:w="108" w:type="dxa"/>
            <w:bottom w:w="0" w:type="dxa"/>
            <w:right w:w="108" w:type="dxa"/>
          </w:tblCellMar>
        </w:tblPrEx>
        <w:trPr>
          <w:trHeight w:val="300"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3</w:t>
            </w:r>
          </w:p>
        </w:tc>
        <w:tc>
          <w:tcPr>
            <w:tcW w:w="99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2"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103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c>
          <w:tcPr>
            <w:tcW w:w="82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r>
      <w:tr>
        <w:tblPrEx>
          <w:tblCellMar>
            <w:top w:w="0" w:type="dxa"/>
            <w:left w:w="108" w:type="dxa"/>
            <w:bottom w:w="0" w:type="dxa"/>
            <w:right w:w="108" w:type="dxa"/>
          </w:tblCellMar>
        </w:tblPrEx>
        <w:trPr>
          <w:trHeight w:val="300"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4</w:t>
            </w:r>
          </w:p>
        </w:tc>
        <w:tc>
          <w:tcPr>
            <w:tcW w:w="99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2"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103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c>
          <w:tcPr>
            <w:tcW w:w="82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r>
      <w:tr>
        <w:tblPrEx>
          <w:tblCellMar>
            <w:top w:w="0" w:type="dxa"/>
            <w:left w:w="108" w:type="dxa"/>
            <w:bottom w:w="0" w:type="dxa"/>
            <w:right w:w="108" w:type="dxa"/>
          </w:tblCellMar>
        </w:tblPrEx>
        <w:trPr>
          <w:trHeight w:val="300"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宋体" w:cs="宋体"/>
                <w:color w:val="000000"/>
                <w:sz w:val="24"/>
                <w:szCs w:val="24"/>
                <w:lang w:val="en-US" w:bidi="ar-SA"/>
              </w:rPr>
            </w:pPr>
            <w:r>
              <w:rPr>
                <w:rFonts w:hint="eastAsia" w:hAnsi="宋体" w:cs="宋体"/>
                <w:color w:val="000000"/>
                <w:sz w:val="24"/>
                <w:szCs w:val="24"/>
                <w:lang w:val="en-US" w:bidi="ar-SA"/>
              </w:rPr>
              <w:t>5</w:t>
            </w:r>
          </w:p>
        </w:tc>
        <w:tc>
          <w:tcPr>
            <w:tcW w:w="99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2"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103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c>
          <w:tcPr>
            <w:tcW w:w="82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r>
      <w:tr>
        <w:tblPrEx>
          <w:tblCellMar>
            <w:top w:w="0" w:type="dxa"/>
            <w:left w:w="108" w:type="dxa"/>
            <w:bottom w:w="0" w:type="dxa"/>
            <w:right w:w="108" w:type="dxa"/>
          </w:tblCellMar>
        </w:tblPrEx>
        <w:trPr>
          <w:trHeight w:val="300"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rPr>
                <w:rFonts w:hAnsi="Arial" w:cs="Arial"/>
                <w:color w:val="000000"/>
                <w:sz w:val="24"/>
                <w:szCs w:val="24"/>
                <w:lang w:val="en-US" w:bidi="ar-SA"/>
              </w:rPr>
            </w:pPr>
            <w:r>
              <w:rPr>
                <w:rFonts w:hint="eastAsia" w:hAnsi="Arial" w:cs="Arial"/>
                <w:color w:val="000000"/>
                <w:sz w:val="24"/>
                <w:szCs w:val="24"/>
                <w:lang w:val="en-US" w:bidi="ar-SA"/>
              </w:rPr>
              <w:t>…</w:t>
            </w:r>
          </w:p>
        </w:tc>
        <w:tc>
          <w:tcPr>
            <w:tcW w:w="99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2"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83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r>
              <w:rPr>
                <w:rFonts w:hint="eastAsia" w:hAnsi="Times New Roman" w:cs="Times New Roman"/>
                <w:color w:val="000000"/>
                <w:sz w:val="24"/>
                <w:szCs w:val="24"/>
                <w:lang w:val="en-US" w:bidi="ar-SA"/>
              </w:rPr>
              <w:t>　</w:t>
            </w:r>
          </w:p>
        </w:tc>
        <w:tc>
          <w:tcPr>
            <w:tcW w:w="1038"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c>
          <w:tcPr>
            <w:tcW w:w="821" w:type="pct"/>
            <w:tcBorders>
              <w:top w:val="nil"/>
              <w:left w:val="nil"/>
              <w:bottom w:val="single" w:color="000000" w:sz="8" w:space="0"/>
              <w:right w:val="single" w:color="000000" w:sz="8" w:space="0"/>
            </w:tcBorders>
            <w:shd w:val="clear" w:color="auto" w:fill="auto"/>
            <w:vAlign w:val="center"/>
          </w:tcPr>
          <w:p>
            <w:pPr>
              <w:widowControl/>
              <w:autoSpaceDE/>
              <w:autoSpaceDN/>
              <w:rPr>
                <w:rFonts w:hAnsi="Times New Roman" w:cs="Times New Roman"/>
                <w:color w:val="000000"/>
                <w:sz w:val="24"/>
                <w:szCs w:val="24"/>
                <w:lang w:val="en-US" w:bidi="ar-SA"/>
              </w:rPr>
            </w:pPr>
          </w:p>
        </w:tc>
      </w:tr>
    </w:tbl>
    <w:p>
      <w:pPr>
        <w:spacing w:line="360" w:lineRule="auto"/>
        <w:rPr>
          <w:rFonts w:hAnsi="仿宋"/>
          <w:sz w:val="24"/>
          <w:szCs w:val="28"/>
        </w:rPr>
      </w:pPr>
      <w:bookmarkStart w:id="25" w:name="_Toc455607508"/>
    </w:p>
    <w:p>
      <w:pPr>
        <w:spacing w:line="360" w:lineRule="auto"/>
        <w:rPr>
          <w:rFonts w:hAnsi="仿宋"/>
          <w:sz w:val="24"/>
          <w:szCs w:val="28"/>
        </w:rPr>
      </w:pPr>
      <w:r>
        <w:rPr>
          <w:rFonts w:hint="eastAsia" w:hAnsi="仿宋"/>
          <w:sz w:val="24"/>
          <w:szCs w:val="28"/>
        </w:rPr>
        <w:t>比选申请人（法人公章）</w:t>
      </w:r>
    </w:p>
    <w:p>
      <w:pPr>
        <w:spacing w:line="360" w:lineRule="auto"/>
        <w:rPr>
          <w:rFonts w:hAnsi="仿宋"/>
          <w:sz w:val="24"/>
          <w:szCs w:val="28"/>
        </w:rPr>
      </w:pPr>
      <w:r>
        <w:rPr>
          <w:rFonts w:hint="eastAsia" w:hAnsi="仿宋"/>
          <w:sz w:val="24"/>
          <w:szCs w:val="28"/>
        </w:rPr>
        <w:t>法定代表人/负责人或其授权代表（签字）：</w:t>
      </w:r>
    </w:p>
    <w:p>
      <w:pPr>
        <w:widowControl/>
        <w:spacing w:line="360" w:lineRule="auto"/>
        <w:rPr>
          <w:rFonts w:hAnsi="黑体"/>
          <w:sz w:val="28"/>
          <w:szCs w:val="28"/>
        </w:rPr>
      </w:pPr>
      <w:r>
        <w:rPr>
          <w:rFonts w:hint="eastAsia" w:hAnsi="仿宋"/>
          <w:sz w:val="24"/>
          <w:szCs w:val="28"/>
        </w:rPr>
        <w:t>日    期：</w:t>
      </w:r>
    </w:p>
    <w:p>
      <w:pPr>
        <w:pStyle w:val="5"/>
        <w:sectPr>
          <w:pgSz w:w="11906" w:h="16838"/>
          <w:pgMar w:top="1440" w:right="1800" w:bottom="1440" w:left="1800" w:header="851" w:footer="992" w:gutter="0"/>
          <w:cols w:space="425" w:num="1"/>
          <w:docGrid w:type="lines" w:linePitch="312" w:charSpace="0"/>
        </w:sectPr>
      </w:pPr>
    </w:p>
    <w:p>
      <w:pPr>
        <w:pStyle w:val="5"/>
      </w:pPr>
      <w:r>
        <w:rPr>
          <w:rFonts w:hint="eastAsia"/>
        </w:rPr>
        <w:t>（二）拟投入项目负责人资历表</w:t>
      </w:r>
      <w:bookmarkEnd w:id="25"/>
    </w:p>
    <w:tbl>
      <w:tblPr>
        <w:tblStyle w:val="1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4"/>
        <w:gridCol w:w="976"/>
        <w:gridCol w:w="1654"/>
        <w:gridCol w:w="126"/>
        <w:gridCol w:w="151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姓名</w:t>
            </w: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976"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职称</w:t>
            </w:r>
          </w:p>
        </w:tc>
        <w:tc>
          <w:tcPr>
            <w:tcW w:w="1654"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hAnsi="宋体" w:cs="宋体"/>
                <w:color w:val="000000"/>
                <w:sz w:val="24"/>
                <w:szCs w:val="24"/>
                <w:lang w:val="en-US" w:bidi="ar-SA"/>
              </w:rPr>
              <w:t>资格证书</w:t>
            </w: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年龄</w:t>
            </w: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976"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拟任职</w:t>
            </w:r>
          </w:p>
        </w:tc>
        <w:tc>
          <w:tcPr>
            <w:tcW w:w="1654"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参加工作时间</w:t>
            </w: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09"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学历（毕业学校、时间、专业）</w:t>
            </w:r>
          </w:p>
        </w:tc>
        <w:tc>
          <w:tcPr>
            <w:tcW w:w="5386" w:type="dxa"/>
            <w:gridSpan w:val="5"/>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开始年份</w:t>
            </w: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参加过的主要项目名称</w:t>
            </w: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r>
              <w:rPr>
                <w:rFonts w:hint="eastAsia"/>
                <w:sz w:val="24"/>
                <w:szCs w:val="28"/>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8"/>
              </w:rPr>
            </w:pPr>
          </w:p>
        </w:tc>
      </w:tr>
    </w:tbl>
    <w:p>
      <w:pPr>
        <w:spacing w:line="360" w:lineRule="auto"/>
        <w:rPr>
          <w:rFonts w:hAnsi="仿宋"/>
          <w:sz w:val="24"/>
          <w:szCs w:val="28"/>
          <w:lang w:val="en-US"/>
        </w:rPr>
      </w:pPr>
      <w:r>
        <w:rPr>
          <w:rFonts w:hint="eastAsia" w:hAnsi="仿宋"/>
          <w:sz w:val="24"/>
          <w:szCs w:val="28"/>
          <w:lang w:val="en-US"/>
        </w:rPr>
        <w:t>备注：在本表后附身份证正反面、相关证书扫描件、养老保险证明材料、业绩证明材料等。</w:t>
      </w:r>
    </w:p>
    <w:p>
      <w:pPr>
        <w:spacing w:line="360" w:lineRule="auto"/>
        <w:rPr>
          <w:rFonts w:hAnsi="黑体"/>
          <w:sz w:val="28"/>
          <w:szCs w:val="28"/>
        </w:rPr>
        <w:sectPr>
          <w:pgSz w:w="11906" w:h="16838"/>
          <w:pgMar w:top="1440" w:right="1800" w:bottom="1440" w:left="1800" w:header="851" w:footer="992" w:gutter="0"/>
          <w:cols w:space="425" w:num="1"/>
          <w:docGrid w:type="lines" w:linePitch="312" w:charSpace="0"/>
        </w:sectPr>
      </w:pPr>
      <w:bookmarkStart w:id="26" w:name="_Toc455607509"/>
    </w:p>
    <w:p>
      <w:pPr>
        <w:pStyle w:val="5"/>
      </w:pPr>
      <w:r>
        <w:rPr>
          <w:rFonts w:hint="eastAsia"/>
        </w:rPr>
        <w:t>（三）投入其他人员资历表</w:t>
      </w:r>
      <w:bookmarkEnd w:id="26"/>
    </w:p>
    <w:tbl>
      <w:tblPr>
        <w:tblStyle w:val="17"/>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姓名</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职称</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资格证书</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年龄</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拟任职</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参加工作时间</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1"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学历（毕业学校、时间、专业）</w:t>
            </w:r>
          </w:p>
        </w:tc>
        <w:tc>
          <w:tcPr>
            <w:tcW w:w="5444" w:type="dxa"/>
            <w:gridSpan w:val="5"/>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开始年份</w:t>
            </w: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参加过的主要项目名称</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r>
              <w:rPr>
                <w:rFonts w:hint="eastAsia"/>
                <w:sz w:val="24"/>
                <w:szCs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8" w:type="dxa"/>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rPr>
                <w:sz w:val="24"/>
                <w:szCs w:val="24"/>
              </w:rPr>
            </w:pPr>
          </w:p>
        </w:tc>
      </w:tr>
    </w:tbl>
    <w:p>
      <w:pPr>
        <w:spacing w:line="360" w:lineRule="auto"/>
        <w:rPr>
          <w:rFonts w:hAnsi="仿宋"/>
          <w:sz w:val="24"/>
          <w:szCs w:val="28"/>
          <w:lang w:val="en-US"/>
        </w:rPr>
      </w:pPr>
      <w:r>
        <w:rPr>
          <w:rFonts w:hint="eastAsia" w:hAnsi="仿宋"/>
          <w:sz w:val="24"/>
          <w:szCs w:val="28"/>
          <w:lang w:val="en-US"/>
        </w:rPr>
        <w:t>备注：在本表后附身份证正反面、相关证书扫描件、养老保险证明材料等。</w:t>
      </w:r>
    </w:p>
    <w:p>
      <w:pPr>
        <w:pStyle w:val="4"/>
        <w:rPr>
          <w:rFonts w:ascii="仿宋_GB2312"/>
        </w:rPr>
        <w:sectPr>
          <w:pgSz w:w="11906" w:h="16838"/>
          <w:pgMar w:top="1440" w:right="1800" w:bottom="1440" w:left="1800" w:header="851" w:footer="992" w:gutter="0"/>
          <w:cols w:space="425" w:num="1"/>
          <w:docGrid w:type="lines" w:linePitch="312" w:charSpace="0"/>
        </w:sectPr>
      </w:pPr>
    </w:p>
    <w:p>
      <w:pPr>
        <w:pStyle w:val="4"/>
        <w:rPr>
          <w:rFonts w:ascii="仿宋" w:hAnsi="仿宋" w:eastAsia="仿宋" w:cs="宋体"/>
          <w:color w:val="000000"/>
          <w:lang w:val="en-US" w:bidi="ar-SA"/>
        </w:rPr>
      </w:pPr>
      <w:r>
        <w:rPr>
          <w:rFonts w:hint="eastAsia" w:ascii="仿宋_GB2312"/>
        </w:rPr>
        <w:t>七、</w:t>
      </w:r>
      <w:r>
        <w:rPr>
          <w:rFonts w:hint="eastAsia" w:ascii="仿宋" w:hAnsi="仿宋" w:eastAsia="仿宋" w:cs="宋体"/>
          <w:color w:val="000000"/>
          <w:lang w:val="en-US" w:bidi="ar-SA"/>
        </w:rPr>
        <w:t>审计组织方案</w:t>
      </w:r>
    </w:p>
    <w:p>
      <w:pPr>
        <w:rPr>
          <w:sz w:val="24"/>
          <w:szCs w:val="24"/>
        </w:rPr>
      </w:pPr>
      <w:r>
        <w:rPr>
          <w:rFonts w:hint="eastAsia"/>
          <w:sz w:val="24"/>
          <w:szCs w:val="24"/>
        </w:rPr>
        <w:t>符合比选文件评审要求。</w:t>
      </w:r>
    </w:p>
    <w:p>
      <w:pPr>
        <w:pStyle w:val="4"/>
        <w:rPr>
          <w:rFonts w:ascii="仿宋_GB2312"/>
        </w:rPr>
        <w:sectPr>
          <w:pgSz w:w="11906" w:h="16838"/>
          <w:pgMar w:top="1440" w:right="1800" w:bottom="1440" w:left="1800" w:header="851" w:footer="992" w:gutter="0"/>
          <w:cols w:space="425" w:num="1"/>
          <w:docGrid w:type="lines" w:linePitch="312" w:charSpace="0"/>
        </w:sectPr>
      </w:pPr>
    </w:p>
    <w:p>
      <w:pPr>
        <w:pStyle w:val="4"/>
        <w:rPr>
          <w:rFonts w:ascii="仿宋_GB2312"/>
        </w:rPr>
      </w:pPr>
      <w:r>
        <w:rPr>
          <w:rFonts w:hint="eastAsia" w:ascii="仿宋_GB2312"/>
        </w:rPr>
        <w:t>八、审计技术方案</w:t>
      </w:r>
    </w:p>
    <w:p>
      <w:pPr>
        <w:rPr>
          <w:sz w:val="24"/>
          <w:szCs w:val="24"/>
        </w:rPr>
      </w:pPr>
      <w:r>
        <w:rPr>
          <w:rFonts w:hint="eastAsia"/>
          <w:sz w:val="24"/>
          <w:szCs w:val="24"/>
        </w:rPr>
        <w:t>符合比选文件评审要求。</w:t>
      </w:r>
    </w:p>
    <w:p>
      <w:pPr>
        <w:pStyle w:val="4"/>
        <w:rPr>
          <w:rFonts w:ascii="仿宋_GB2312"/>
        </w:rPr>
        <w:sectPr>
          <w:pgSz w:w="11906" w:h="16838"/>
          <w:pgMar w:top="1440" w:right="1800" w:bottom="1440" w:left="1800" w:header="851" w:footer="992" w:gutter="0"/>
          <w:cols w:space="425" w:num="1"/>
          <w:docGrid w:type="lines" w:linePitch="312" w:charSpace="0"/>
        </w:sectPr>
      </w:pPr>
    </w:p>
    <w:p>
      <w:pPr>
        <w:pStyle w:val="4"/>
        <w:rPr>
          <w:rFonts w:ascii="仿宋_GB2312"/>
        </w:rPr>
      </w:pPr>
      <w:r>
        <w:rPr>
          <w:rFonts w:hint="eastAsia" w:ascii="仿宋_GB2312"/>
        </w:rPr>
        <w:t>九、内部质量控制工作方案与重大问题沟通协商预案</w:t>
      </w:r>
    </w:p>
    <w:p>
      <w:pPr>
        <w:rPr>
          <w:sz w:val="24"/>
          <w:szCs w:val="24"/>
        </w:rPr>
      </w:pPr>
      <w:r>
        <w:rPr>
          <w:rFonts w:hint="eastAsia"/>
          <w:sz w:val="24"/>
          <w:szCs w:val="24"/>
        </w:rPr>
        <w:t>符合比选文件评审要求。</w:t>
      </w:r>
    </w:p>
    <w:p/>
    <w:p>
      <w:pPr>
        <w:pStyle w:val="4"/>
        <w:rPr>
          <w:rFonts w:ascii="仿宋_GB2312"/>
        </w:rPr>
        <w:sectPr>
          <w:pgSz w:w="11906" w:h="16838"/>
          <w:pgMar w:top="1440" w:right="1800" w:bottom="1440" w:left="1800" w:header="851" w:footer="992" w:gutter="0"/>
          <w:cols w:space="425" w:num="1"/>
          <w:docGrid w:type="lines" w:linePitch="312" w:charSpace="0"/>
        </w:sectPr>
      </w:pPr>
    </w:p>
    <w:p>
      <w:pPr>
        <w:pStyle w:val="4"/>
        <w:rPr>
          <w:rFonts w:ascii="仿宋_GB2312"/>
        </w:rPr>
      </w:pPr>
      <w:r>
        <w:rPr>
          <w:rFonts w:hint="eastAsia" w:ascii="仿宋_GB2312"/>
          <w:lang w:val="en-US"/>
        </w:rPr>
        <w:t>十</w:t>
      </w:r>
      <w:r>
        <w:rPr>
          <w:rFonts w:hint="eastAsia" w:ascii="仿宋_GB2312"/>
        </w:rPr>
        <w:t>、其他</w:t>
      </w:r>
    </w:p>
    <w:p>
      <w:pPr>
        <w:rPr>
          <w:rFonts w:hint="eastAsia"/>
          <w:sz w:val="24"/>
          <w:szCs w:val="24"/>
        </w:rPr>
      </w:pPr>
      <w:r>
        <w:rPr>
          <w:rFonts w:hint="eastAsia"/>
          <w:sz w:val="24"/>
          <w:szCs w:val="24"/>
        </w:rPr>
        <w:t>符合比选文件第四章 比选办法或第三章 比选项目商务、服务、技术及其他要求或其他参选人认为需要提供的其他文件。</w:t>
      </w:r>
    </w:p>
    <w:p>
      <w:pPr>
        <w:rPr>
          <w:sz w:val="24"/>
          <w:szCs w:val="24"/>
        </w:rPr>
      </w:pPr>
      <w:r>
        <w:rPr>
          <w:rFonts w:hint="eastAsia"/>
          <w:sz w:val="24"/>
          <w:szCs w:val="24"/>
        </w:rPr>
        <w:t>相关内容格式自拟。</w:t>
      </w:r>
    </w:p>
    <w:p>
      <w:pPr>
        <w:sectPr>
          <w:pgSz w:w="11906" w:h="16838"/>
          <w:pgMar w:top="1440" w:right="1800" w:bottom="1440" w:left="1800" w:header="851" w:footer="992" w:gutter="0"/>
          <w:cols w:space="425" w:num="1"/>
          <w:docGrid w:type="lines" w:linePitch="312" w:charSpace="0"/>
        </w:sectPr>
      </w:pPr>
    </w:p>
    <w:p>
      <w:pPr>
        <w:pStyle w:val="3"/>
        <w:rPr>
          <w:rFonts w:ascii="仿宋_GB2312"/>
        </w:rPr>
      </w:pPr>
      <w:bookmarkStart w:id="27" w:name="_Toc127778965"/>
      <w:r>
        <w:rPr>
          <w:rFonts w:hint="eastAsia" w:ascii="仿宋_GB2312"/>
        </w:rPr>
        <w:t>第六章 合同主要条款（参考）</w:t>
      </w:r>
      <w:bookmarkEnd w:id="27"/>
    </w:p>
    <w:p>
      <w:pPr>
        <w:rPr>
          <w:b/>
          <w:sz w:val="24"/>
        </w:rPr>
      </w:pPr>
      <w:r>
        <w:rPr>
          <w:rFonts w:hint="eastAsia"/>
          <w:b/>
          <w:sz w:val="24"/>
        </w:rPr>
        <w:t>（特别提示：本合同条款仅供参考，中标人与比选人在签订合同时，应在不违背本项目招标文件原则性条款的基础上，视具体情况进行补充与增减。）</w:t>
      </w:r>
    </w:p>
    <w:p>
      <w:pPr>
        <w:pStyle w:val="4"/>
        <w:rPr>
          <w:rFonts w:ascii="仿宋_GB2312"/>
        </w:rPr>
      </w:pPr>
      <w:r>
        <w:rPr>
          <w:rFonts w:hint="eastAsia" w:ascii="仿宋_GB2312"/>
        </w:rPr>
        <w:t>标段1：</w:t>
      </w:r>
      <w:r>
        <w:rPr>
          <w:rFonts w:hint="eastAsia" w:ascii="仿宋_GB2312" w:hAnsi="Times New Roman" w:cs="Times New Roman"/>
          <w:kern w:val="2"/>
          <w:sz w:val="28"/>
          <w:szCs w:val="28"/>
          <w:lang w:val="en-US" w:bidi="ar-SA"/>
        </w:rPr>
        <w:t>工程结算审计合同</w:t>
      </w:r>
    </w:p>
    <w:p>
      <w:pPr>
        <w:rPr>
          <w:rFonts w:hAnsi="宋体" w:cs="宋体"/>
          <w:b/>
          <w:bCs/>
          <w:sz w:val="21"/>
          <w:szCs w:val="21"/>
        </w:rPr>
      </w:pPr>
      <w:r>
        <w:rPr>
          <w:rFonts w:hint="eastAsia" w:hAnsi="宋体" w:cs="宋体"/>
          <w:b/>
          <w:bCs/>
          <w:sz w:val="21"/>
          <w:szCs w:val="21"/>
        </w:rPr>
        <w:t>竣工工程结算审计合同</w:t>
      </w:r>
    </w:p>
    <w:p>
      <w:pPr>
        <w:spacing w:before="1"/>
        <w:rPr>
          <w:rFonts w:hAnsi="宋体" w:cs="宋体"/>
          <w:b/>
          <w:sz w:val="10"/>
          <w:szCs w:val="21"/>
        </w:rPr>
      </w:pPr>
    </w:p>
    <w:p>
      <w:pPr>
        <w:spacing w:line="360" w:lineRule="auto"/>
        <w:ind w:right="-58" w:firstLine="424" w:firstLineChars="202"/>
        <w:rPr>
          <w:rFonts w:hAnsi="宋体" w:cs="宋体"/>
          <w:sz w:val="21"/>
          <w:szCs w:val="21"/>
        </w:rPr>
      </w:pPr>
      <w:r>
        <w:rPr>
          <w:rFonts w:hint="eastAsia" w:hAnsi="宋体" w:cs="宋体"/>
          <w:sz w:val="21"/>
          <w:szCs w:val="21"/>
        </w:rPr>
        <w:t>甲方</w:t>
      </w:r>
      <w:r>
        <w:rPr>
          <w:rFonts w:hint="eastAsia" w:hAnsi="宋体" w:cs="宋体"/>
          <w:sz w:val="21"/>
          <w:szCs w:val="21"/>
          <w:lang w:val="en-US"/>
        </w:rPr>
        <w:t>1</w:t>
      </w:r>
      <w:r>
        <w:rPr>
          <w:rFonts w:hint="eastAsia" w:hAnsi="宋体" w:cs="宋体"/>
          <w:sz w:val="21"/>
          <w:szCs w:val="21"/>
        </w:rPr>
        <w:t>(委托单位)：</w:t>
      </w:r>
    </w:p>
    <w:p>
      <w:pPr>
        <w:spacing w:line="360" w:lineRule="auto"/>
        <w:ind w:right="-58" w:firstLine="424" w:firstLineChars="202"/>
        <w:rPr>
          <w:rFonts w:hAnsi="宋体" w:cs="宋体"/>
          <w:spacing w:val="-8"/>
          <w:sz w:val="21"/>
          <w:szCs w:val="21"/>
        </w:rPr>
      </w:pPr>
      <w:r>
        <w:rPr>
          <w:rFonts w:hint="eastAsia" w:hAnsi="宋体" w:cs="宋体"/>
          <w:sz w:val="21"/>
          <w:szCs w:val="21"/>
          <w:lang w:val="en-US"/>
        </w:rPr>
        <w:t>甲方2（</w:t>
      </w:r>
      <w:r>
        <w:rPr>
          <w:rFonts w:hint="eastAsia" w:hAnsi="宋体" w:cs="宋体"/>
          <w:sz w:val="21"/>
          <w:szCs w:val="21"/>
        </w:rPr>
        <w:t>委托单位</w:t>
      </w:r>
      <w:r>
        <w:rPr>
          <w:rFonts w:hint="eastAsia" w:hAnsi="宋体" w:cs="宋体"/>
          <w:spacing w:val="-8"/>
          <w:sz w:val="21"/>
          <w:szCs w:val="21"/>
        </w:rPr>
        <w:t>）：</w:t>
      </w:r>
    </w:p>
    <w:p>
      <w:pPr>
        <w:spacing w:line="360" w:lineRule="auto"/>
        <w:ind w:right="-58" w:firstLine="391" w:firstLineChars="202"/>
        <w:rPr>
          <w:rFonts w:hAnsi="宋体" w:cs="宋体"/>
          <w:spacing w:val="-8"/>
          <w:sz w:val="21"/>
          <w:szCs w:val="21"/>
        </w:rPr>
      </w:pPr>
      <w:r>
        <w:rPr>
          <w:rFonts w:hint="eastAsia" w:hAnsi="宋体" w:cs="宋体"/>
          <w:spacing w:val="-8"/>
          <w:sz w:val="21"/>
          <w:szCs w:val="21"/>
        </w:rPr>
        <w:t>（在无说明时，“甲方1”、“甲方2”合称“甲方”）</w:t>
      </w:r>
    </w:p>
    <w:p>
      <w:pPr>
        <w:spacing w:line="360" w:lineRule="auto"/>
        <w:ind w:right="84" w:firstLine="424" w:firstLineChars="202"/>
        <w:rPr>
          <w:rFonts w:hAnsi="宋体" w:cs="宋体"/>
          <w:sz w:val="21"/>
          <w:szCs w:val="21"/>
        </w:rPr>
      </w:pPr>
      <w:r>
        <w:rPr>
          <w:rFonts w:hint="eastAsia" w:hAnsi="宋体" w:cs="宋体"/>
          <w:sz w:val="21"/>
          <w:szCs w:val="21"/>
        </w:rPr>
        <w:t>乙方（</w:t>
      </w:r>
      <w:r>
        <w:rPr>
          <w:rFonts w:hint="eastAsia" w:hAnsi="宋体" w:cs="宋体"/>
          <w:sz w:val="21"/>
          <w:szCs w:val="21"/>
          <w:lang w:val="en-US"/>
        </w:rPr>
        <w:t>受托人</w:t>
      </w:r>
      <w:r>
        <w:rPr>
          <w:rFonts w:hint="eastAsia" w:hAnsi="宋体" w:cs="宋体"/>
          <w:sz w:val="21"/>
          <w:szCs w:val="21"/>
        </w:rPr>
        <w:t xml:space="preserve">）： </w:t>
      </w:r>
    </w:p>
    <w:p>
      <w:pPr>
        <w:spacing w:line="360" w:lineRule="auto"/>
        <w:ind w:firstLine="424" w:firstLineChars="202"/>
        <w:rPr>
          <w:rFonts w:hAnsi="宋体" w:cs="宋体"/>
          <w:spacing w:val="-10"/>
          <w:sz w:val="21"/>
          <w:szCs w:val="21"/>
        </w:rPr>
      </w:pPr>
      <w:r>
        <w:rPr>
          <w:rFonts w:hint="eastAsia" w:hAnsi="宋体" w:cs="宋体"/>
          <w:sz w:val="21"/>
          <w:szCs w:val="21"/>
        </w:rPr>
        <w:t>依据《中华人民共和国民法典》、《中华人民共和国建筑法》、《中华人民共和国审计法》及其它有关法律、行政法规，甲、乙就</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竣工工程结算审计签订本合同</w:t>
      </w:r>
      <w:r>
        <w:rPr>
          <w:rFonts w:hint="eastAsia" w:hAnsi="宋体" w:cs="宋体"/>
          <w:spacing w:val="-10"/>
          <w:sz w:val="21"/>
          <w:szCs w:val="21"/>
        </w:rPr>
        <w:t>。</w:t>
      </w:r>
    </w:p>
    <w:p>
      <w:pPr>
        <w:pStyle w:val="5"/>
        <w:ind w:firstLine="426" w:firstLineChars="202"/>
        <w:rPr>
          <w:rFonts w:hAnsi="宋体" w:cs="宋体"/>
          <w:sz w:val="21"/>
          <w:szCs w:val="21"/>
        </w:rPr>
      </w:pPr>
      <w:r>
        <w:rPr>
          <w:rFonts w:hint="eastAsia" w:hAnsi="宋体" w:cs="宋体"/>
          <w:sz w:val="21"/>
          <w:szCs w:val="21"/>
        </w:rPr>
        <w:t>一、建设工程概况</w:t>
      </w:r>
    </w:p>
    <w:p>
      <w:pPr>
        <w:spacing w:line="360" w:lineRule="auto"/>
        <w:ind w:right="84" w:firstLine="424" w:firstLineChars="202"/>
        <w:rPr>
          <w:rFonts w:hAnsi="宋体" w:cs="宋体"/>
          <w:sz w:val="21"/>
          <w:szCs w:val="21"/>
        </w:rPr>
      </w:pPr>
      <w:r>
        <w:rPr>
          <w:rFonts w:hint="eastAsia" w:hAnsi="宋体" w:cs="宋体"/>
          <w:sz w:val="21"/>
          <w:szCs w:val="21"/>
        </w:rPr>
        <w:t>工程名称：</w:t>
      </w:r>
    </w:p>
    <w:p>
      <w:pPr>
        <w:spacing w:line="360" w:lineRule="auto"/>
        <w:ind w:right="84" w:firstLine="424" w:firstLineChars="202"/>
        <w:rPr>
          <w:rFonts w:hAnsi="宋体" w:cs="宋体"/>
          <w:sz w:val="21"/>
          <w:szCs w:val="21"/>
        </w:rPr>
      </w:pPr>
      <w:r>
        <w:rPr>
          <w:rFonts w:hint="eastAsia" w:hAnsi="宋体" w:cs="宋体"/>
          <w:sz w:val="21"/>
          <w:szCs w:val="21"/>
        </w:rPr>
        <w:t>工程地点：</w:t>
      </w:r>
    </w:p>
    <w:p>
      <w:pPr>
        <w:pStyle w:val="5"/>
        <w:ind w:firstLine="426" w:firstLineChars="202"/>
        <w:rPr>
          <w:rFonts w:hAnsi="宋体" w:cs="宋体"/>
          <w:sz w:val="21"/>
          <w:szCs w:val="21"/>
        </w:rPr>
      </w:pPr>
      <w:r>
        <w:rPr>
          <w:rFonts w:hint="eastAsia" w:hAnsi="宋体" w:cs="宋体"/>
          <w:sz w:val="21"/>
          <w:szCs w:val="21"/>
        </w:rPr>
        <w:t>二、审计的目标、审计的方式和主要内容</w:t>
      </w:r>
    </w:p>
    <w:p>
      <w:pPr>
        <w:spacing w:line="360" w:lineRule="auto"/>
        <w:ind w:firstLine="426" w:firstLineChars="202"/>
        <w:rPr>
          <w:rFonts w:hAnsi="宋体" w:cs="宋体"/>
          <w:b/>
          <w:bCs/>
          <w:sz w:val="21"/>
          <w:szCs w:val="21"/>
        </w:rPr>
      </w:pPr>
      <w:r>
        <w:rPr>
          <w:rFonts w:hint="eastAsia" w:hAnsi="宋体" w:cs="宋体"/>
          <w:b/>
          <w:bCs/>
          <w:sz w:val="21"/>
          <w:szCs w:val="21"/>
        </w:rPr>
        <w:t>(一)审计的目标</w:t>
      </w:r>
    </w:p>
    <w:p>
      <w:pPr>
        <w:tabs>
          <w:tab w:val="left" w:pos="3479"/>
          <w:tab w:val="left" w:pos="4161"/>
        </w:tabs>
        <w:spacing w:line="360" w:lineRule="auto"/>
        <w:ind w:right="567" w:firstLine="424" w:firstLineChars="202"/>
        <w:rPr>
          <w:rFonts w:hAnsi="宋体" w:cs="宋体"/>
          <w:sz w:val="21"/>
          <w:szCs w:val="21"/>
        </w:rPr>
      </w:pPr>
      <w:r>
        <w:rPr>
          <w:rFonts w:hint="eastAsia" w:hAnsi="宋体" w:cs="宋体"/>
          <w:sz w:val="21"/>
          <w:szCs w:val="21"/>
        </w:rPr>
        <w:t>通过结算审计，了解</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在政策执行</w:t>
      </w:r>
      <w:r>
        <w:rPr>
          <w:rFonts w:hint="eastAsia" w:hAnsi="宋体" w:cs="宋体"/>
          <w:spacing w:val="-41"/>
          <w:sz w:val="21"/>
          <w:szCs w:val="21"/>
        </w:rPr>
        <w:t>、</w:t>
      </w:r>
      <w:r>
        <w:rPr>
          <w:rFonts w:hint="eastAsia" w:hAnsi="宋体" w:cs="宋体"/>
          <w:sz w:val="21"/>
          <w:szCs w:val="21"/>
        </w:rPr>
        <w:t>资金和建设管理方面的内容</w:t>
      </w:r>
      <w:r>
        <w:rPr>
          <w:rFonts w:hint="eastAsia" w:hAnsi="宋体" w:cs="宋体"/>
          <w:spacing w:val="-41"/>
          <w:sz w:val="21"/>
          <w:szCs w:val="21"/>
        </w:rPr>
        <w:t>，</w:t>
      </w:r>
      <w:r>
        <w:rPr>
          <w:rFonts w:hint="eastAsia" w:hAnsi="宋体" w:cs="宋体"/>
          <w:sz w:val="21"/>
          <w:szCs w:val="21"/>
        </w:rPr>
        <w:t>同时对项目招投标、投资完成情况、工程质量、施工单位和其他参建单位履职履约等内容进行审计，保证竣工决算的准确性</w:t>
      </w:r>
      <w:r>
        <w:rPr>
          <w:rFonts w:hint="eastAsia" w:hAnsi="宋体" w:cs="宋体"/>
          <w:spacing w:val="-25"/>
          <w:sz w:val="21"/>
          <w:szCs w:val="21"/>
        </w:rPr>
        <w:t>、</w:t>
      </w:r>
      <w:r>
        <w:rPr>
          <w:rFonts w:hint="eastAsia" w:hAnsi="宋体" w:cs="宋体"/>
          <w:sz w:val="21"/>
          <w:szCs w:val="21"/>
        </w:rPr>
        <w:t>真实性和完整性</w:t>
      </w:r>
      <w:r>
        <w:rPr>
          <w:rFonts w:hint="eastAsia" w:hAnsi="宋体" w:cs="宋体"/>
          <w:spacing w:val="-27"/>
          <w:sz w:val="21"/>
          <w:szCs w:val="21"/>
        </w:rPr>
        <w:t>，</w:t>
      </w:r>
      <w:r>
        <w:rPr>
          <w:rFonts w:hint="eastAsia" w:hAnsi="宋体" w:cs="宋体"/>
          <w:sz w:val="21"/>
          <w:szCs w:val="21"/>
        </w:rPr>
        <w:t>揭示</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u w:val="single"/>
        </w:rPr>
        <w:tab/>
      </w:r>
      <w:r>
        <w:rPr>
          <w:rFonts w:hint="eastAsia" w:hAnsi="宋体" w:cs="宋体"/>
          <w:sz w:val="21"/>
          <w:szCs w:val="21"/>
        </w:rPr>
        <w:t>在建设中存在的管理漏洞</w:t>
      </w:r>
      <w:r>
        <w:rPr>
          <w:rFonts w:hint="eastAsia" w:hAnsi="宋体" w:cs="宋体"/>
          <w:spacing w:val="-27"/>
          <w:sz w:val="21"/>
          <w:szCs w:val="21"/>
        </w:rPr>
        <w:t>、</w:t>
      </w:r>
      <w:r>
        <w:rPr>
          <w:rFonts w:hint="eastAsia" w:hAnsi="宋体" w:cs="宋体"/>
          <w:sz w:val="21"/>
          <w:szCs w:val="21"/>
        </w:rPr>
        <w:t>损失浪费和重大违法违规等突出问题，深入分析产生问题的原因，从提高投资绩效、完善制度、规范项目管理等方面提出建议，促进项目健康运行。</w:t>
      </w:r>
    </w:p>
    <w:p>
      <w:pPr>
        <w:spacing w:line="360" w:lineRule="auto"/>
        <w:ind w:firstLine="426" w:firstLineChars="202"/>
        <w:rPr>
          <w:rFonts w:hAnsi="宋体" w:cs="宋体"/>
          <w:b/>
          <w:bCs/>
          <w:sz w:val="21"/>
          <w:szCs w:val="21"/>
        </w:rPr>
      </w:pPr>
      <w:r>
        <w:rPr>
          <w:rFonts w:hint="eastAsia" w:hAnsi="宋体" w:cs="宋体"/>
          <w:b/>
          <w:bCs/>
          <w:sz w:val="21"/>
          <w:szCs w:val="21"/>
        </w:rPr>
        <w:t>（二）审计的方式和主要内容</w:t>
      </w:r>
    </w:p>
    <w:p>
      <w:pPr>
        <w:tabs>
          <w:tab w:val="left" w:pos="3479"/>
          <w:tab w:val="left" w:pos="4161"/>
        </w:tabs>
        <w:spacing w:line="360" w:lineRule="auto"/>
        <w:ind w:right="565" w:firstLine="424" w:firstLineChars="202"/>
        <w:rPr>
          <w:rFonts w:hAnsi="宋体" w:cs="宋体"/>
          <w:sz w:val="21"/>
          <w:szCs w:val="21"/>
        </w:rPr>
      </w:pPr>
      <w:r>
        <w:rPr>
          <w:rFonts w:hint="eastAsia" w:hAnsi="宋体" w:cs="宋体"/>
          <w:sz w:val="21"/>
          <w:szCs w:val="21"/>
        </w:rPr>
        <w:t>甲方全面负责本项目工程结算审计。组织、协调、指导和监督乙方开展审计工作，对乙方提交的审计结论进行复核（重大问题必须全部纳入复核）。</w:t>
      </w:r>
    </w:p>
    <w:p>
      <w:pPr>
        <w:tabs>
          <w:tab w:val="left" w:pos="3479"/>
          <w:tab w:val="left" w:pos="4161"/>
        </w:tabs>
        <w:spacing w:line="360" w:lineRule="auto"/>
        <w:ind w:right="565" w:firstLine="424" w:firstLineChars="202"/>
        <w:rPr>
          <w:rFonts w:hAnsi="宋体" w:cs="宋体"/>
          <w:sz w:val="21"/>
          <w:szCs w:val="21"/>
        </w:rPr>
      </w:pPr>
      <w:r>
        <w:rPr>
          <w:rFonts w:hint="eastAsia" w:hAnsi="宋体" w:cs="宋体"/>
          <w:sz w:val="21"/>
          <w:szCs w:val="21"/>
        </w:rPr>
        <w:t>乙方除负责对工程结算审计外，还需配合财务审计单位完成对项目资金的筹集、拨付、使用、结算、项目计划、立项审批、实施进度等审计工作，以及对项目节概、工期提前、提高绩效、规范管理和制度完善等方面的分析工作，确保项目审计完整性。结算审计应在被审计单位审核认定的范围和数据基础上进行全面审计，最终形成工程造价结算审计结论，且对形成的结论负责。所有审计结论必须有审计取证单和审计工作底稿作为支撑。</w:t>
      </w:r>
    </w:p>
    <w:p>
      <w:pPr>
        <w:tabs>
          <w:tab w:val="left" w:pos="2658"/>
          <w:tab w:val="left" w:pos="4161"/>
        </w:tabs>
        <w:spacing w:line="360" w:lineRule="auto"/>
        <w:ind w:right="565" w:firstLine="424" w:firstLineChars="202"/>
        <w:rPr>
          <w:rFonts w:hAnsi="宋体" w:cs="宋体"/>
          <w:sz w:val="21"/>
          <w:szCs w:val="21"/>
        </w:rPr>
      </w:pPr>
      <w:r>
        <w:rPr>
          <w:rFonts w:hint="eastAsia" w:hAnsi="宋体" w:cs="宋体"/>
          <w:sz w:val="21"/>
          <w:szCs w:val="21"/>
        </w:rPr>
        <w:t>乙方承担工程结算审计工作，预计送审金额为：</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万元。</w:t>
      </w:r>
    </w:p>
    <w:p>
      <w:pPr>
        <w:pStyle w:val="5"/>
        <w:ind w:firstLine="426" w:firstLineChars="202"/>
        <w:rPr>
          <w:rFonts w:hAnsi="宋体" w:cs="宋体"/>
          <w:sz w:val="21"/>
        </w:rPr>
      </w:pPr>
      <w:r>
        <w:rPr>
          <w:rFonts w:hint="eastAsia" w:hAnsi="宋体" w:cs="宋体"/>
          <w:sz w:val="21"/>
        </w:rPr>
        <w:t>三、合同价格与支付方式</w:t>
      </w:r>
    </w:p>
    <w:p>
      <w:pPr>
        <w:spacing w:line="360" w:lineRule="auto"/>
        <w:ind w:firstLine="426" w:firstLineChars="202"/>
        <w:rPr>
          <w:rFonts w:hAnsi="宋体" w:cs="宋体"/>
          <w:b/>
          <w:bCs/>
          <w:sz w:val="21"/>
          <w:szCs w:val="21"/>
        </w:rPr>
      </w:pPr>
      <w:r>
        <w:rPr>
          <w:rFonts w:hint="eastAsia" w:hAnsi="宋体" w:cs="宋体"/>
          <w:b/>
          <w:bCs/>
          <w:sz w:val="21"/>
          <w:szCs w:val="21"/>
        </w:rPr>
        <w:t>（一）合同价格</w:t>
      </w:r>
    </w:p>
    <w:p>
      <w:pPr>
        <w:tabs>
          <w:tab w:val="left" w:pos="4900"/>
          <w:tab w:val="left" w:pos="6251"/>
        </w:tabs>
        <w:spacing w:line="360" w:lineRule="auto"/>
        <w:ind w:right="84" w:firstLine="424" w:firstLineChars="202"/>
        <w:rPr>
          <w:rFonts w:hAnsi="宋体" w:cs="宋体"/>
          <w:sz w:val="21"/>
          <w:szCs w:val="21"/>
          <w:highlight w:val="yellow"/>
        </w:rPr>
      </w:pPr>
      <w:r>
        <w:rPr>
          <w:rFonts w:hint="eastAsia" w:hAnsi="宋体" w:cs="宋体"/>
          <w:sz w:val="21"/>
          <w:szCs w:val="21"/>
          <w:lang w:val="en-US"/>
        </w:rPr>
        <w:t>1.</w:t>
      </w:r>
      <w:r>
        <w:rPr>
          <w:rFonts w:hint="eastAsia" w:hAnsi="宋体" w:cs="宋体"/>
          <w:sz w:val="21"/>
          <w:szCs w:val="21"/>
        </w:rPr>
        <w:t>全部审计服务费用为人民币</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元（大写：</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u w:val="single"/>
        </w:rPr>
        <w:t xml:space="preserve">     </w:t>
      </w:r>
      <w:r>
        <w:rPr>
          <w:rFonts w:hint="eastAsia" w:hAnsi="宋体" w:cs="宋体"/>
          <w:sz w:val="21"/>
          <w:szCs w:val="21"/>
        </w:rPr>
        <w:t>元整），本次审计无审减效益费用，该审计</w:t>
      </w:r>
      <w:r>
        <w:rPr>
          <w:rFonts w:hint="eastAsia" w:hAnsi="宋体" w:cs="宋体"/>
          <w:sz w:val="21"/>
          <w:szCs w:val="21"/>
          <w:lang w:val="en-US"/>
        </w:rPr>
        <w:t>服务</w:t>
      </w:r>
      <w:r>
        <w:rPr>
          <w:rFonts w:hint="eastAsia" w:hAnsi="宋体" w:cs="宋体"/>
          <w:sz w:val="21"/>
          <w:szCs w:val="21"/>
        </w:rPr>
        <w:t>费用由</w:t>
      </w:r>
      <w:r>
        <w:rPr>
          <w:rFonts w:hint="eastAsia" w:hAnsi="宋体" w:cs="宋体"/>
          <w:sz w:val="21"/>
          <w:szCs w:val="21"/>
          <w:lang w:val="en-US"/>
        </w:rPr>
        <w:t>甲方2</w:t>
      </w:r>
      <w:r>
        <w:rPr>
          <w:rFonts w:hint="eastAsia" w:hAnsi="宋体" w:cs="宋体"/>
          <w:sz w:val="21"/>
          <w:szCs w:val="21"/>
        </w:rPr>
        <w:t>按本合同支付。</w:t>
      </w:r>
    </w:p>
    <w:p>
      <w:pPr>
        <w:tabs>
          <w:tab w:val="left" w:pos="963"/>
        </w:tabs>
        <w:spacing w:line="360" w:lineRule="auto"/>
        <w:ind w:right="84" w:firstLine="420" w:firstLineChars="200"/>
        <w:rPr>
          <w:rFonts w:hAnsi="宋体" w:cs="宋体"/>
          <w:sz w:val="21"/>
          <w:szCs w:val="21"/>
        </w:rPr>
      </w:pPr>
      <w:r>
        <w:rPr>
          <w:rFonts w:hint="eastAsia" w:hAnsi="宋体" w:cs="宋体"/>
          <w:sz w:val="21"/>
          <w:lang w:val="en-US"/>
        </w:rPr>
        <w:t>2.</w:t>
      </w:r>
      <w:r>
        <w:rPr>
          <w:rFonts w:hAnsi="宋体" w:cs="宋体"/>
          <w:sz w:val="21"/>
          <w:lang w:val="en-US"/>
        </w:rPr>
        <w:t>本次审计服务费用含税总额为人民币</w:t>
      </w:r>
      <w:r>
        <w:rPr>
          <w:rFonts w:hint="eastAsia" w:hAnsi="宋体" w:cs="宋体"/>
          <w:sz w:val="21"/>
          <w:lang w:val="en-US"/>
        </w:rPr>
        <w:t xml:space="preserve">   </w:t>
      </w:r>
      <w:r>
        <w:rPr>
          <w:rFonts w:hAnsi="宋体" w:cs="宋体"/>
          <w:sz w:val="21"/>
          <w:lang w:val="en-US"/>
        </w:rPr>
        <w:t>元（大写：</w:t>
      </w:r>
      <w:r>
        <w:rPr>
          <w:rFonts w:hint="eastAsia" w:hAnsi="宋体" w:cs="宋体"/>
          <w:sz w:val="21"/>
          <w:lang w:val="en-US"/>
        </w:rPr>
        <w:t xml:space="preserve">   </w:t>
      </w:r>
      <w:r>
        <w:rPr>
          <w:rFonts w:hAnsi="宋体" w:cs="宋体"/>
          <w:sz w:val="21"/>
          <w:lang w:val="en-US"/>
        </w:rPr>
        <w:t>），其中不含税价格为：</w:t>
      </w:r>
      <w:r>
        <w:rPr>
          <w:rFonts w:hint="eastAsia" w:hAnsi="宋体" w:cs="宋体"/>
          <w:sz w:val="21"/>
          <w:lang w:val="en-US"/>
        </w:rPr>
        <w:t xml:space="preserve"> </w:t>
      </w:r>
      <w:r>
        <w:rPr>
          <w:rFonts w:hAnsi="宋体" w:cs="宋体"/>
          <w:sz w:val="21"/>
          <w:lang w:val="en-US"/>
        </w:rPr>
        <w:t xml:space="preserve"> 元；税费为：</w:t>
      </w:r>
      <w:r>
        <w:rPr>
          <w:rFonts w:hint="eastAsia" w:hAnsi="宋体" w:cs="宋体"/>
          <w:sz w:val="21"/>
          <w:lang w:val="en-US"/>
        </w:rPr>
        <w:t xml:space="preserve"> </w:t>
      </w:r>
      <w:r>
        <w:rPr>
          <w:rFonts w:hAnsi="宋体" w:cs="宋体"/>
          <w:sz w:val="21"/>
          <w:lang w:val="en-US"/>
        </w:rPr>
        <w:t xml:space="preserve"> 元。包括但不限于乙方及乙方工作人员咨询服务费用、税费、乙方工作人员完成本次咨询服务事宜正常发生的交通、住宿、电话、传真、外地差旅费等支出。除此之外，不再承担乙方其他任何费用。</w:t>
      </w:r>
    </w:p>
    <w:p>
      <w:pPr>
        <w:numPr>
          <w:ilvl w:val="0"/>
          <w:numId w:val="6"/>
        </w:numPr>
        <w:spacing w:line="360" w:lineRule="auto"/>
        <w:ind w:firstLine="426" w:firstLineChars="202"/>
        <w:rPr>
          <w:rFonts w:hAnsi="宋体" w:cs="宋体"/>
          <w:sz w:val="21"/>
          <w:szCs w:val="21"/>
          <w:lang w:val="en-US"/>
        </w:rPr>
      </w:pPr>
      <w:r>
        <w:rPr>
          <w:rFonts w:hint="eastAsia" w:hAnsi="宋体" w:cs="宋体"/>
          <w:b/>
          <w:bCs/>
          <w:sz w:val="21"/>
          <w:szCs w:val="21"/>
        </w:rPr>
        <w:t>支付方式</w:t>
      </w:r>
    </w:p>
    <w:p>
      <w:pPr>
        <w:numPr>
          <w:ilvl w:val="255"/>
          <w:numId w:val="0"/>
        </w:numPr>
        <w:tabs>
          <w:tab w:val="left" w:pos="963"/>
        </w:tabs>
        <w:spacing w:line="360" w:lineRule="auto"/>
        <w:ind w:right="84" w:firstLine="420" w:firstLineChars="200"/>
        <w:rPr>
          <w:rFonts w:hAnsi="宋体" w:cs="宋体"/>
          <w:sz w:val="21"/>
          <w:szCs w:val="21"/>
        </w:rPr>
      </w:pPr>
      <w:r>
        <w:rPr>
          <w:rFonts w:hint="eastAsia" w:hAnsi="宋体" w:cs="宋体"/>
          <w:sz w:val="21"/>
          <w:lang w:val="en-US"/>
        </w:rPr>
        <w:t>竣工结算</w:t>
      </w:r>
      <w:r>
        <w:rPr>
          <w:rFonts w:hAnsi="宋体" w:cs="宋体"/>
          <w:sz w:val="21"/>
          <w:lang w:val="en-US"/>
        </w:rPr>
        <w:t>审计结束，乙方按甲方</w:t>
      </w:r>
      <w:r>
        <w:rPr>
          <w:rFonts w:hint="eastAsia" w:hAnsi="宋体" w:cs="宋体"/>
          <w:sz w:val="21"/>
          <w:lang w:val="en-US"/>
        </w:rPr>
        <w:t>2</w:t>
      </w:r>
      <w:r>
        <w:rPr>
          <w:rFonts w:hAnsi="宋体" w:cs="宋体"/>
          <w:sz w:val="21"/>
          <w:lang w:val="en-US"/>
        </w:rPr>
        <w:t>要求，向甲方</w:t>
      </w:r>
      <w:r>
        <w:rPr>
          <w:rFonts w:hint="eastAsia" w:hAnsi="宋体" w:cs="宋体"/>
          <w:sz w:val="21"/>
          <w:lang w:val="en-US"/>
        </w:rPr>
        <w:t>2</w:t>
      </w:r>
      <w:r>
        <w:rPr>
          <w:rFonts w:hAnsi="宋体" w:cs="宋体"/>
          <w:sz w:val="21"/>
          <w:lang w:val="en-US"/>
        </w:rPr>
        <w:t>提交正式审计报告一式【陆】份及合法有效足额的发票（增值税专用发票）后，</w:t>
      </w:r>
      <w:r>
        <w:rPr>
          <w:rFonts w:hint="eastAsia" w:hAnsi="宋体" w:cs="宋体"/>
          <w:sz w:val="21"/>
          <w:szCs w:val="21"/>
          <w:lang w:val="en-US"/>
        </w:rPr>
        <w:t>并将结算全部资料移交委托单位后14个工作日内，</w:t>
      </w:r>
      <w:r>
        <w:rPr>
          <w:rFonts w:hAnsi="宋体" w:cs="宋体"/>
          <w:sz w:val="21"/>
          <w:lang w:val="en-US"/>
        </w:rPr>
        <w:t>甲方</w:t>
      </w:r>
      <w:r>
        <w:rPr>
          <w:rFonts w:hint="eastAsia" w:hAnsi="宋体" w:cs="宋体"/>
          <w:sz w:val="21"/>
          <w:lang w:val="en-US"/>
        </w:rPr>
        <w:t>2</w:t>
      </w:r>
      <w:r>
        <w:rPr>
          <w:rFonts w:hAnsi="宋体" w:cs="宋体"/>
          <w:sz w:val="21"/>
          <w:lang w:val="en-US"/>
        </w:rPr>
        <w:t>在14个工作日内向乙方一次性支付审计费用。</w:t>
      </w:r>
      <w:r>
        <w:rPr>
          <w:rFonts w:hint="eastAsia" w:hAnsi="宋体" w:cs="宋体"/>
          <w:sz w:val="21"/>
          <w:szCs w:val="21"/>
          <w:lang w:val="en-US"/>
        </w:rPr>
        <w:t>如因乙方未能及时提交所需的相关资料和票据，或提交的资料和票据不能满足甲方2的付款要求造成付款延误，甲方2不承担逾期付款的责任。</w:t>
      </w:r>
    </w:p>
    <w:p>
      <w:pPr>
        <w:pStyle w:val="5"/>
        <w:ind w:firstLine="426" w:firstLineChars="202"/>
        <w:rPr>
          <w:rFonts w:hAnsi="宋体" w:cs="宋体"/>
          <w:sz w:val="21"/>
          <w:szCs w:val="21"/>
        </w:rPr>
      </w:pPr>
      <w:r>
        <w:rPr>
          <w:rFonts w:hint="eastAsia" w:hAnsi="宋体" w:cs="宋体"/>
          <w:sz w:val="21"/>
          <w:szCs w:val="21"/>
        </w:rPr>
        <w:t>四、审计方式及时间期限</w:t>
      </w:r>
    </w:p>
    <w:p>
      <w:pPr>
        <w:spacing w:line="360" w:lineRule="auto"/>
        <w:ind w:firstLine="424" w:firstLineChars="202"/>
        <w:rPr>
          <w:rFonts w:hAnsi="宋体" w:cs="宋体"/>
          <w:sz w:val="21"/>
          <w:szCs w:val="21"/>
        </w:rPr>
      </w:pPr>
      <w:r>
        <w:rPr>
          <w:rFonts w:hint="eastAsia" w:hAnsi="宋体" w:cs="宋体"/>
          <w:sz w:val="21"/>
          <w:szCs w:val="21"/>
        </w:rPr>
        <w:t>（一）审计方式：</w:t>
      </w:r>
      <w:r>
        <w:rPr>
          <w:rFonts w:hint="eastAsia" w:hAnsi="宋体" w:cs="宋体"/>
          <w:sz w:val="21"/>
          <w:szCs w:val="21"/>
          <w:u w:val="single"/>
        </w:rPr>
        <w:t>就地审计</w:t>
      </w:r>
      <w:r>
        <w:rPr>
          <w:rFonts w:hint="eastAsia" w:hAnsi="宋体" w:cs="宋体"/>
          <w:sz w:val="21"/>
          <w:szCs w:val="21"/>
        </w:rPr>
        <w:t>。</w:t>
      </w:r>
    </w:p>
    <w:p>
      <w:pPr>
        <w:spacing w:line="360" w:lineRule="auto"/>
        <w:ind w:right="565" w:firstLine="424" w:firstLineChars="202"/>
        <w:rPr>
          <w:rFonts w:hAnsi="宋体" w:cs="宋体"/>
          <w:sz w:val="21"/>
          <w:szCs w:val="21"/>
          <w:highlight w:val="yellow"/>
        </w:rPr>
      </w:pPr>
      <w:r>
        <w:rPr>
          <w:rFonts w:hint="eastAsia" w:hAnsi="宋体" w:cs="宋体"/>
          <w:sz w:val="21"/>
          <w:szCs w:val="21"/>
        </w:rPr>
        <w:t>（二</w:t>
      </w:r>
      <w:r>
        <w:rPr>
          <w:rFonts w:hint="eastAsia" w:hAnsi="宋体" w:cs="宋体"/>
          <w:spacing w:val="-27"/>
          <w:sz w:val="21"/>
          <w:szCs w:val="21"/>
        </w:rPr>
        <w:t>）</w:t>
      </w:r>
      <w:r>
        <w:rPr>
          <w:rFonts w:hint="eastAsia" w:hAnsi="宋体" w:cs="宋体"/>
          <w:spacing w:val="-10"/>
          <w:sz w:val="21"/>
          <w:szCs w:val="21"/>
        </w:rPr>
        <w:t xml:space="preserve">完成时限：召开进场会议后 </w:t>
      </w:r>
      <w:r>
        <w:rPr>
          <w:rFonts w:hint="eastAsia" w:hAnsi="宋体" w:cs="宋体"/>
          <w:sz w:val="21"/>
          <w:szCs w:val="21"/>
          <w:u w:val="single"/>
        </w:rPr>
        <w:t xml:space="preserve">    </w:t>
      </w:r>
      <w:r>
        <w:rPr>
          <w:rFonts w:hint="eastAsia" w:hAnsi="宋体" w:cs="宋体"/>
          <w:spacing w:val="-17"/>
          <w:sz w:val="21"/>
          <w:szCs w:val="21"/>
        </w:rPr>
        <w:t>日历天</w:t>
      </w:r>
      <w:r>
        <w:rPr>
          <w:rFonts w:hint="eastAsia" w:hAnsi="宋体" w:cs="宋体"/>
          <w:spacing w:val="-2"/>
          <w:sz w:val="21"/>
          <w:szCs w:val="21"/>
        </w:rPr>
        <w:t>内完成工程结算审计并提交审计报告。</w:t>
      </w:r>
    </w:p>
    <w:p>
      <w:pPr>
        <w:spacing w:line="360" w:lineRule="auto"/>
        <w:ind w:right="671" w:firstLine="424" w:firstLineChars="202"/>
        <w:rPr>
          <w:rFonts w:hAnsi="宋体" w:cs="宋体"/>
          <w:sz w:val="21"/>
          <w:szCs w:val="21"/>
        </w:rPr>
      </w:pPr>
      <w:r>
        <w:rPr>
          <w:rFonts w:hint="eastAsia" w:hAnsi="宋体" w:cs="宋体"/>
          <w:sz w:val="21"/>
          <w:szCs w:val="21"/>
        </w:rPr>
        <w:t>乙方因客观原因不能按期完成审计事项的，应于期满十日前向</w:t>
      </w:r>
      <w:r>
        <w:rPr>
          <w:rFonts w:hint="eastAsia" w:hAnsi="宋体" w:cs="宋体"/>
          <w:sz w:val="21"/>
          <w:szCs w:val="21"/>
          <w:lang w:val="en-US"/>
        </w:rPr>
        <w:t>甲</w:t>
      </w:r>
      <w:r>
        <w:rPr>
          <w:rFonts w:hint="eastAsia" w:hAnsi="宋体" w:cs="宋体"/>
          <w:sz w:val="21"/>
          <w:szCs w:val="21"/>
        </w:rPr>
        <w:t>方提出延期的申请并经甲方审定同意，具体延长期限由甲方确定。</w:t>
      </w:r>
    </w:p>
    <w:p>
      <w:pPr>
        <w:pStyle w:val="5"/>
        <w:ind w:firstLine="426" w:firstLineChars="202"/>
        <w:rPr>
          <w:rFonts w:hAnsi="宋体" w:cs="宋体"/>
          <w:sz w:val="21"/>
          <w:szCs w:val="21"/>
        </w:rPr>
      </w:pPr>
      <w:r>
        <w:rPr>
          <w:rFonts w:hint="eastAsia" w:hAnsi="宋体" w:cs="宋体"/>
          <w:sz w:val="21"/>
          <w:szCs w:val="21"/>
        </w:rPr>
        <w:t>五、组成协议的文件</w:t>
      </w:r>
    </w:p>
    <w:p>
      <w:pPr>
        <w:spacing w:line="360" w:lineRule="auto"/>
        <w:ind w:firstLine="424" w:firstLineChars="202"/>
        <w:rPr>
          <w:rFonts w:hAnsi="宋体" w:cs="宋体"/>
          <w:sz w:val="21"/>
          <w:szCs w:val="21"/>
        </w:rPr>
      </w:pPr>
      <w:r>
        <w:rPr>
          <w:rFonts w:hint="eastAsia" w:hAnsi="宋体" w:cs="宋体"/>
          <w:sz w:val="21"/>
          <w:szCs w:val="21"/>
        </w:rPr>
        <w:t>（一）本合同</w:t>
      </w:r>
    </w:p>
    <w:p>
      <w:pPr>
        <w:spacing w:line="360" w:lineRule="auto"/>
        <w:ind w:firstLine="424" w:firstLineChars="202"/>
        <w:rPr>
          <w:rFonts w:hAnsi="宋体" w:cs="宋体"/>
          <w:sz w:val="21"/>
          <w:szCs w:val="21"/>
        </w:rPr>
      </w:pPr>
      <w:r>
        <w:rPr>
          <w:rFonts w:hint="eastAsia" w:hAnsi="宋体" w:cs="宋体"/>
          <w:sz w:val="21"/>
          <w:szCs w:val="21"/>
        </w:rPr>
        <w:t>（二）附件</w:t>
      </w:r>
    </w:p>
    <w:p>
      <w:pPr>
        <w:pStyle w:val="5"/>
        <w:ind w:firstLine="426" w:firstLineChars="202"/>
        <w:rPr>
          <w:rFonts w:hAnsi="宋体" w:cs="宋体"/>
          <w:sz w:val="21"/>
          <w:szCs w:val="21"/>
        </w:rPr>
      </w:pPr>
      <w:r>
        <w:rPr>
          <w:rFonts w:hint="eastAsia" w:hAnsi="宋体" w:cs="宋体"/>
          <w:sz w:val="21"/>
          <w:szCs w:val="21"/>
        </w:rPr>
        <w:t>六、权利和义务</w:t>
      </w:r>
    </w:p>
    <w:p>
      <w:pPr>
        <w:spacing w:line="360" w:lineRule="auto"/>
        <w:ind w:firstLine="426" w:firstLineChars="202"/>
        <w:rPr>
          <w:rFonts w:hAnsi="宋体" w:cs="宋体"/>
          <w:b/>
          <w:bCs/>
          <w:sz w:val="21"/>
          <w:szCs w:val="21"/>
        </w:rPr>
      </w:pPr>
      <w:r>
        <w:rPr>
          <w:rFonts w:hint="eastAsia" w:hAnsi="宋体" w:cs="宋体"/>
          <w:b/>
          <w:bCs/>
          <w:sz w:val="21"/>
          <w:szCs w:val="21"/>
        </w:rPr>
        <w:t>（一）甲方的权利和义务</w:t>
      </w:r>
    </w:p>
    <w:p>
      <w:pPr>
        <w:tabs>
          <w:tab w:val="left" w:pos="3479"/>
          <w:tab w:val="left" w:pos="4161"/>
        </w:tabs>
        <w:spacing w:line="360" w:lineRule="auto"/>
        <w:ind w:right="565" w:firstLine="426" w:firstLineChars="202"/>
        <w:rPr>
          <w:rFonts w:hAnsi="宋体" w:cs="宋体"/>
          <w:b/>
          <w:sz w:val="21"/>
          <w:szCs w:val="21"/>
        </w:rPr>
      </w:pPr>
      <w:r>
        <w:rPr>
          <w:rFonts w:hint="eastAsia" w:hAnsi="宋体" w:cs="宋体"/>
          <w:b/>
          <w:sz w:val="21"/>
          <w:szCs w:val="21"/>
        </w:rPr>
        <w:t>1.甲方的权利</w:t>
      </w:r>
    </w:p>
    <w:p>
      <w:pPr>
        <w:pStyle w:val="29"/>
        <w:numPr>
          <w:ilvl w:val="0"/>
          <w:numId w:val="7"/>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有权了解工作进展情况并监督乙方审计纪律的执行。</w:t>
      </w:r>
    </w:p>
    <w:p>
      <w:pPr>
        <w:pStyle w:val="29"/>
        <w:numPr>
          <w:ilvl w:val="0"/>
          <w:numId w:val="7"/>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有权对乙方和丙方审计过程中提出的具体问题阐述意见或进行说明。</w:t>
      </w:r>
    </w:p>
    <w:p>
      <w:pPr>
        <w:tabs>
          <w:tab w:val="left" w:pos="3479"/>
          <w:tab w:val="left" w:pos="4161"/>
        </w:tabs>
        <w:spacing w:line="360" w:lineRule="auto"/>
        <w:ind w:right="565" w:firstLine="426" w:firstLineChars="202"/>
        <w:rPr>
          <w:rFonts w:hAnsi="宋体" w:cs="宋体"/>
          <w:b/>
          <w:sz w:val="21"/>
          <w:szCs w:val="21"/>
        </w:rPr>
      </w:pPr>
      <w:r>
        <w:rPr>
          <w:rFonts w:hint="eastAsia" w:hAnsi="宋体" w:cs="宋体"/>
          <w:b/>
          <w:sz w:val="21"/>
          <w:szCs w:val="21"/>
        </w:rPr>
        <w:t>2.甲方的义务</w:t>
      </w:r>
    </w:p>
    <w:p>
      <w:pPr>
        <w:pStyle w:val="29"/>
        <w:numPr>
          <w:ilvl w:val="0"/>
          <w:numId w:val="8"/>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负责配合实施本项目竣工决算审计工作。</w:t>
      </w:r>
    </w:p>
    <w:p>
      <w:pPr>
        <w:pStyle w:val="29"/>
        <w:numPr>
          <w:ilvl w:val="0"/>
          <w:numId w:val="8"/>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负责与项目公司进行协调，为乙方开展工作提供外部条件。</w:t>
      </w:r>
    </w:p>
    <w:p>
      <w:pPr>
        <w:pStyle w:val="29"/>
        <w:numPr>
          <w:ilvl w:val="0"/>
          <w:numId w:val="8"/>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负责督促项目公司及时书面答复乙方提出的关于本项目审计事宜，解决阻碍乙方审计工作正常推进的相关问题。</w:t>
      </w:r>
    </w:p>
    <w:p>
      <w:pPr>
        <w:spacing w:line="360" w:lineRule="auto"/>
        <w:ind w:firstLine="426" w:firstLineChars="202"/>
        <w:rPr>
          <w:rFonts w:hAnsi="宋体" w:cs="宋体"/>
          <w:b/>
          <w:bCs/>
          <w:sz w:val="21"/>
          <w:szCs w:val="21"/>
        </w:rPr>
      </w:pPr>
      <w:r>
        <w:rPr>
          <w:rFonts w:hint="eastAsia" w:hAnsi="宋体" w:cs="宋体"/>
          <w:b/>
          <w:bCs/>
          <w:sz w:val="21"/>
          <w:szCs w:val="21"/>
        </w:rPr>
        <w:t>（二）乙方的权利和义务</w:t>
      </w:r>
    </w:p>
    <w:p>
      <w:pPr>
        <w:spacing w:line="360" w:lineRule="auto"/>
        <w:ind w:firstLine="426" w:firstLineChars="202"/>
        <w:rPr>
          <w:rFonts w:hAnsi="宋体" w:cs="宋体"/>
          <w:b/>
          <w:bCs/>
          <w:sz w:val="21"/>
          <w:szCs w:val="21"/>
        </w:rPr>
      </w:pPr>
      <w:r>
        <w:rPr>
          <w:rFonts w:hint="eastAsia" w:hAnsi="宋体" w:cs="宋体"/>
          <w:b/>
          <w:bCs/>
          <w:sz w:val="21"/>
          <w:szCs w:val="21"/>
        </w:rPr>
        <w:t>1.乙方的权利</w:t>
      </w:r>
    </w:p>
    <w:p>
      <w:pPr>
        <w:pStyle w:val="29"/>
        <w:numPr>
          <w:ilvl w:val="0"/>
          <w:numId w:val="9"/>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有权根据相关法律法规、行业准则，严格按照规定程序实施项目审计。</w:t>
      </w:r>
    </w:p>
    <w:p>
      <w:pPr>
        <w:pStyle w:val="29"/>
        <w:numPr>
          <w:ilvl w:val="0"/>
          <w:numId w:val="9"/>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乙方在实施项目审计过程中，遇需要甲方组织或协调的事项，有权以书面形式提出获得支持的申请。</w:t>
      </w:r>
    </w:p>
    <w:p>
      <w:pPr>
        <w:pStyle w:val="29"/>
        <w:numPr>
          <w:ilvl w:val="0"/>
          <w:numId w:val="9"/>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按期收取审计费用的权利。</w:t>
      </w:r>
    </w:p>
    <w:p>
      <w:pPr>
        <w:spacing w:line="360" w:lineRule="auto"/>
        <w:ind w:firstLine="426" w:firstLineChars="202"/>
        <w:rPr>
          <w:rFonts w:hAnsi="宋体" w:cs="宋体"/>
          <w:b/>
          <w:sz w:val="21"/>
        </w:rPr>
      </w:pPr>
      <w:r>
        <w:rPr>
          <w:rFonts w:hint="eastAsia" w:hAnsi="宋体" w:cs="宋体"/>
          <w:b/>
          <w:sz w:val="21"/>
        </w:rPr>
        <w:t>2.乙方的义务</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根据合同要求实施项目审计，严格执行审计相关法律法规、规章，遵守行业执行准则、职业道德规范和审计纪律、廉洁从业的规定。</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接受、实施项目审计时应严格执行以下回避要求：</w:t>
      </w:r>
    </w:p>
    <w:p>
      <w:pPr>
        <w:spacing w:line="360" w:lineRule="auto"/>
        <w:ind w:firstLine="424" w:firstLineChars="202"/>
        <w:rPr>
          <w:rFonts w:hAnsi="宋体" w:cs="宋体"/>
          <w:sz w:val="21"/>
          <w:szCs w:val="21"/>
        </w:rPr>
      </w:pPr>
      <w:r>
        <w:rPr>
          <w:rFonts w:hint="eastAsia" w:hAnsi="宋体" w:cs="宋体"/>
          <w:sz w:val="21"/>
          <w:szCs w:val="21"/>
        </w:rPr>
        <w:t>①在接受、实施项目审计时，认为存在与被审计单位或审计事项有以下利害关系之一的，应当主动向甲方提出回避申请：机构负责人或其近亲属与被审计单位负责人或直接责任人是夫妻关系、近姻亲关系、三代以内直系血亲或旁系血亲关系的。</w:t>
      </w:r>
    </w:p>
    <w:p>
      <w:pPr>
        <w:spacing w:line="360" w:lineRule="auto"/>
        <w:ind w:firstLine="424" w:firstLineChars="202"/>
        <w:rPr>
          <w:rFonts w:hAnsi="宋体" w:cs="宋体"/>
          <w:sz w:val="21"/>
          <w:szCs w:val="21"/>
        </w:rPr>
      </w:pPr>
      <w:r>
        <w:rPr>
          <w:rFonts w:hint="eastAsia" w:hAnsi="宋体" w:cs="宋体"/>
          <w:sz w:val="21"/>
          <w:szCs w:val="21"/>
        </w:rPr>
        <w:t>②在安排人员实施项目审计时，从业人员本人或其近亲属不得与被审计单位负责人或直接责任人是夫妻关系、近姻亲关系、三代以内直系血亲或旁系血亲关系，不得与审计项目或事项有其他利害关系，或可能影响工作履职的其他情形。</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本项目负责人：</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，参与本项目审计的全体人员，在审计过程中，接受甲方指导、监督和质量考核。</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严格按照报经甲方确认的本项目《审计实施方案》要求，组织人员按规范要求实施项目审计，严格执行其内部质量控制制度，对审计中取得的证据资料、得出的审计结论严格进行层级复核，向甲方出具真实、完整、合法的审计报告，并承担相应法律责任。审计报告中的所有审计结论必须有审计取证单和审计工作底稿作为支撑。</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实施项目审计过程中，发现审计单位或相关单位存在重大违法违规问题的，应当及时向甲方报告。</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对甲方提出的审计复核意见应通过书面形式逐项答复，逐项明确是否采纳审计复核意见，采纳审计复核意见应作出相应调整，不采纳审计复核意见应书面说明理由。</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严格遵守国家保密规定，审计报告及相关信息不向外泄露，不得利用审计获取的信息牟取不正当利益或用于其他与审计无关的任何事项。</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办理审计事项中，交通、食宿等费用自理，不得违规向被审计单位收取费用。</w:t>
      </w:r>
    </w:p>
    <w:p>
      <w:pPr>
        <w:pStyle w:val="29"/>
        <w:numPr>
          <w:ilvl w:val="0"/>
          <w:numId w:val="10"/>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完成项目后，应在甲方规定的期限内，提交审计报告 6 份。并在审计报告审核合格后15天内，如实、完整地将审计形成的全部纸质原件和电子资料整理移交甲方，并清除不应保留的电子信息。</w:t>
      </w:r>
    </w:p>
    <w:p>
      <w:pPr>
        <w:pStyle w:val="5"/>
        <w:ind w:firstLine="426" w:firstLineChars="202"/>
        <w:rPr>
          <w:rFonts w:hAnsi="宋体" w:cs="宋体"/>
          <w:sz w:val="21"/>
        </w:rPr>
      </w:pPr>
      <w:r>
        <w:rPr>
          <w:rFonts w:hint="eastAsia" w:hAnsi="宋体" w:cs="宋体"/>
          <w:sz w:val="21"/>
        </w:rPr>
        <w:t>七、违约责任</w:t>
      </w:r>
    </w:p>
    <w:p>
      <w:pPr>
        <w:spacing w:line="360" w:lineRule="auto"/>
        <w:ind w:firstLine="424" w:firstLineChars="202"/>
        <w:rPr>
          <w:rFonts w:hAnsi="宋体" w:cs="宋体"/>
          <w:sz w:val="21"/>
          <w:szCs w:val="21"/>
        </w:rPr>
      </w:pPr>
      <w:r>
        <w:rPr>
          <w:rFonts w:hint="eastAsia" w:hAnsi="宋体" w:cs="宋体"/>
          <w:sz w:val="21"/>
          <w:szCs w:val="21"/>
        </w:rPr>
        <w:t>除本合同另有约定外，违反本合同约定，或无故终止合同视为违约。违约方应按《中华人民共和国民法典》有关规定，承担违约责任。在合同书有效期内，若无不可抗拒因素发生，甲乙</w:t>
      </w:r>
      <w:r>
        <w:rPr>
          <w:rFonts w:hint="eastAsia" w:hAnsi="宋体" w:cs="宋体"/>
          <w:sz w:val="21"/>
          <w:szCs w:val="21"/>
          <w:lang w:val="en-US"/>
        </w:rPr>
        <w:t>双</w:t>
      </w:r>
      <w:r>
        <w:rPr>
          <w:rFonts w:hint="eastAsia" w:hAnsi="宋体" w:cs="宋体"/>
          <w:sz w:val="21"/>
          <w:szCs w:val="21"/>
        </w:rPr>
        <w:t>方中的任何一方都不得无故终止合同。无故终止合同方视为违约。</w:t>
      </w:r>
    </w:p>
    <w:p>
      <w:pPr>
        <w:spacing w:line="360" w:lineRule="auto"/>
        <w:ind w:firstLine="426" w:firstLineChars="202"/>
        <w:rPr>
          <w:rFonts w:hAnsi="宋体" w:cs="宋体"/>
          <w:b/>
          <w:bCs/>
          <w:sz w:val="21"/>
          <w:szCs w:val="21"/>
        </w:rPr>
      </w:pPr>
      <w:r>
        <w:rPr>
          <w:rFonts w:hint="eastAsia" w:hAnsi="宋体" w:cs="宋体"/>
          <w:b/>
          <w:bCs/>
          <w:sz w:val="21"/>
          <w:szCs w:val="21"/>
        </w:rPr>
        <w:t>（一）甲方违约责任</w:t>
      </w:r>
    </w:p>
    <w:p>
      <w:pPr>
        <w:spacing w:line="360" w:lineRule="auto"/>
        <w:ind w:firstLine="424" w:firstLineChars="202"/>
        <w:rPr>
          <w:rFonts w:hAnsi="宋体" w:cs="宋体"/>
          <w:sz w:val="21"/>
          <w:szCs w:val="21"/>
        </w:rPr>
      </w:pPr>
      <w:r>
        <w:rPr>
          <w:rFonts w:hint="eastAsia" w:hAnsi="宋体" w:cs="宋体"/>
          <w:sz w:val="21"/>
          <w:szCs w:val="21"/>
        </w:rPr>
        <w:t>甲方出现严重不履行第六条第（一）款所列合同义务的情形，视为违约并承担违约责任。</w:t>
      </w:r>
    </w:p>
    <w:p>
      <w:pPr>
        <w:spacing w:line="360" w:lineRule="auto"/>
        <w:ind w:firstLine="426" w:firstLineChars="202"/>
        <w:rPr>
          <w:rFonts w:hAnsi="宋体" w:cs="宋体"/>
          <w:b/>
          <w:bCs/>
          <w:sz w:val="21"/>
          <w:szCs w:val="21"/>
        </w:rPr>
      </w:pPr>
      <w:r>
        <w:rPr>
          <w:rFonts w:hint="eastAsia" w:hAnsi="宋体" w:cs="宋体"/>
          <w:b/>
          <w:bCs/>
          <w:sz w:val="21"/>
          <w:szCs w:val="21"/>
        </w:rPr>
        <w:t>（二）乙方违约责任</w:t>
      </w:r>
    </w:p>
    <w:p>
      <w:pPr>
        <w:spacing w:line="360" w:lineRule="auto"/>
        <w:ind w:firstLine="426" w:firstLineChars="202"/>
        <w:rPr>
          <w:rFonts w:hAnsi="宋体" w:cs="宋体"/>
          <w:b/>
          <w:sz w:val="21"/>
          <w:szCs w:val="21"/>
        </w:rPr>
      </w:pPr>
      <w:r>
        <w:rPr>
          <w:rFonts w:hint="eastAsia" w:hAnsi="宋体" w:cs="宋体"/>
          <w:b/>
          <w:sz w:val="21"/>
          <w:szCs w:val="21"/>
        </w:rPr>
        <w:t>1.费用扣减。</w:t>
      </w:r>
    </w:p>
    <w:p>
      <w:pPr>
        <w:spacing w:line="360" w:lineRule="auto"/>
        <w:ind w:firstLine="424" w:firstLineChars="202"/>
        <w:rPr>
          <w:rFonts w:hAnsi="宋体" w:cs="宋体"/>
          <w:sz w:val="21"/>
          <w:szCs w:val="21"/>
        </w:rPr>
      </w:pPr>
      <w:r>
        <w:rPr>
          <w:rFonts w:hint="eastAsia" w:hAnsi="宋体" w:cs="宋体"/>
          <w:sz w:val="21"/>
          <w:szCs w:val="21"/>
        </w:rPr>
        <w:t>乙方在实施审计项目时有下列情形的，应当相应扣减审计费用：</w:t>
      </w:r>
    </w:p>
    <w:p>
      <w:pPr>
        <w:pStyle w:val="29"/>
        <w:numPr>
          <w:ilvl w:val="0"/>
          <w:numId w:val="11"/>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利用实施审计获取信息牟取不正当利益的，按获取利益的两倍进行扣减；</w:t>
      </w:r>
    </w:p>
    <w:p>
      <w:pPr>
        <w:pStyle w:val="29"/>
        <w:numPr>
          <w:ilvl w:val="0"/>
          <w:numId w:val="11"/>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违规向被审计单位收取其他费用的，按违规收取金额的两倍进行扣减；</w:t>
      </w:r>
    </w:p>
    <w:p>
      <w:pPr>
        <w:pStyle w:val="29"/>
        <w:numPr>
          <w:ilvl w:val="0"/>
          <w:numId w:val="11"/>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违反审计相关法律规定、行业准则或工作纪律获取利益的，按实际获取利益的两倍进行扣减；</w:t>
      </w:r>
    </w:p>
    <w:p>
      <w:pPr>
        <w:pStyle w:val="29"/>
        <w:numPr>
          <w:ilvl w:val="0"/>
          <w:numId w:val="11"/>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无故延迟出具审计报告的，每延迟10天，扣减应付审计费的10%，不足10天的部分按对应天数等比例扣减，以此类推，扣完为止。</w:t>
      </w:r>
    </w:p>
    <w:p>
      <w:pPr>
        <w:pStyle w:val="29"/>
        <w:numPr>
          <w:ilvl w:val="0"/>
          <w:numId w:val="11"/>
        </w:numPr>
        <w:tabs>
          <w:tab w:val="left" w:pos="3479"/>
          <w:tab w:val="left" w:pos="4161"/>
        </w:tabs>
        <w:spacing w:line="360" w:lineRule="auto"/>
        <w:ind w:left="0" w:right="565" w:firstLine="426" w:firstLineChars="0"/>
        <w:rPr>
          <w:rFonts w:hAnsi="宋体" w:cs="宋体"/>
          <w:sz w:val="21"/>
          <w:szCs w:val="21"/>
        </w:rPr>
      </w:pPr>
      <w:r>
        <w:rPr>
          <w:rFonts w:hint="eastAsia" w:hAnsi="宋体" w:cs="宋体"/>
          <w:sz w:val="21"/>
          <w:szCs w:val="21"/>
        </w:rPr>
        <w:t>违反《审计工作质量及保密承诺书》和《审计廉洁承诺书》的，扣减应付审计费的</w:t>
      </w:r>
      <w:r>
        <w:rPr>
          <w:rFonts w:hint="eastAsia" w:hAnsi="宋体" w:cs="宋体"/>
          <w:sz w:val="21"/>
          <w:szCs w:val="21"/>
          <w:lang w:val="en-US"/>
        </w:rPr>
        <w:t>50</w:t>
      </w:r>
      <w:r>
        <w:rPr>
          <w:rFonts w:hint="eastAsia" w:hAnsi="宋体" w:cs="宋体"/>
          <w:sz w:val="21"/>
          <w:szCs w:val="21"/>
        </w:rPr>
        <w:t>%。</w:t>
      </w:r>
    </w:p>
    <w:p>
      <w:pPr>
        <w:spacing w:line="360" w:lineRule="auto"/>
        <w:ind w:firstLine="432" w:firstLineChars="202"/>
        <w:rPr>
          <w:rFonts w:hAnsi="宋体" w:cs="宋体"/>
          <w:b/>
          <w:sz w:val="21"/>
        </w:rPr>
      </w:pPr>
      <w:r>
        <w:rPr>
          <w:rFonts w:hint="eastAsia" w:hAnsi="宋体" w:cs="宋体"/>
          <w:spacing w:val="2"/>
          <w:sz w:val="21"/>
        </w:rPr>
        <w:t xml:space="preserve"> </w:t>
      </w:r>
      <w:r>
        <w:rPr>
          <w:rFonts w:hint="eastAsia" w:hAnsi="宋体" w:cs="宋体"/>
          <w:b/>
          <w:sz w:val="21"/>
        </w:rPr>
        <w:t>2.取消资格。</w:t>
      </w:r>
    </w:p>
    <w:p>
      <w:pPr>
        <w:spacing w:line="360" w:lineRule="auto"/>
        <w:ind w:firstLine="424" w:firstLineChars="202"/>
        <w:rPr>
          <w:rFonts w:hAnsi="宋体" w:cs="宋体"/>
          <w:sz w:val="21"/>
          <w:szCs w:val="21"/>
        </w:rPr>
      </w:pPr>
      <w:r>
        <w:rPr>
          <w:rFonts w:hint="eastAsia" w:hAnsi="宋体" w:cs="宋体"/>
          <w:sz w:val="21"/>
        </w:rPr>
        <w:t>乙方在实施审计项目时有下列情形的，甲方有权终止其委托项目的审计，并要</w:t>
      </w:r>
      <w:r>
        <w:rPr>
          <w:rFonts w:hint="eastAsia" w:hAnsi="宋体" w:cs="宋体"/>
          <w:sz w:val="21"/>
          <w:szCs w:val="21"/>
        </w:rPr>
        <w:t>求乙方返还已支付的费用：</w:t>
      </w:r>
    </w:p>
    <w:p>
      <w:pPr>
        <w:spacing w:line="360" w:lineRule="auto"/>
        <w:ind w:firstLine="424" w:firstLineChars="202"/>
        <w:rPr>
          <w:rFonts w:hAnsi="宋体" w:cs="宋体"/>
          <w:sz w:val="21"/>
          <w:szCs w:val="21"/>
        </w:rPr>
      </w:pPr>
      <w:r>
        <w:rPr>
          <w:rFonts w:hint="eastAsia" w:hAnsi="宋体" w:cs="宋体"/>
          <w:sz w:val="21"/>
          <w:szCs w:val="21"/>
        </w:rPr>
        <w:t>①因滥用职权、徇私舞弊、索贿受贿出具虚假审计结果的；</w:t>
      </w:r>
    </w:p>
    <w:p>
      <w:pPr>
        <w:spacing w:line="360" w:lineRule="auto"/>
        <w:ind w:firstLine="424" w:firstLineChars="202"/>
        <w:rPr>
          <w:rFonts w:hAnsi="宋体" w:cs="宋体"/>
          <w:sz w:val="21"/>
          <w:szCs w:val="21"/>
        </w:rPr>
      </w:pPr>
      <w:r>
        <w:rPr>
          <w:rFonts w:hint="eastAsia" w:hAnsi="宋体" w:cs="宋体"/>
          <w:sz w:val="21"/>
          <w:szCs w:val="21"/>
        </w:rPr>
        <w:t>②因重大过失、业务水平低劣出具不真实审计报告，并造成重大经济损失的；</w:t>
      </w:r>
    </w:p>
    <w:p>
      <w:pPr>
        <w:spacing w:line="360" w:lineRule="auto"/>
        <w:ind w:firstLine="424" w:firstLineChars="202"/>
        <w:rPr>
          <w:rFonts w:hAnsi="宋体" w:cs="宋体"/>
          <w:sz w:val="21"/>
          <w:szCs w:val="21"/>
        </w:rPr>
      </w:pPr>
      <w:r>
        <w:rPr>
          <w:rFonts w:hint="eastAsia" w:hAnsi="宋体" w:cs="宋体"/>
          <w:sz w:val="21"/>
          <w:szCs w:val="21"/>
        </w:rPr>
        <w:t>③将受托审计项目转包或分包给其他单位或个人的；</w:t>
      </w:r>
    </w:p>
    <w:p>
      <w:pPr>
        <w:spacing w:line="360" w:lineRule="auto"/>
        <w:ind w:firstLine="424" w:firstLineChars="202"/>
        <w:rPr>
          <w:rFonts w:hAnsi="宋体" w:cs="宋体"/>
          <w:sz w:val="21"/>
          <w:szCs w:val="21"/>
        </w:rPr>
      </w:pPr>
      <w:r>
        <w:rPr>
          <w:rFonts w:hint="eastAsia" w:hAnsi="宋体" w:cs="宋体"/>
          <w:sz w:val="21"/>
          <w:szCs w:val="21"/>
        </w:rPr>
        <w:t>④拒绝接受统一安排和管理的。</w:t>
      </w:r>
    </w:p>
    <w:p>
      <w:pPr>
        <w:spacing w:line="360" w:lineRule="auto"/>
        <w:ind w:firstLine="426" w:firstLineChars="202"/>
        <w:rPr>
          <w:rFonts w:hAnsi="宋体" w:cs="宋体"/>
          <w:b/>
          <w:bCs/>
          <w:sz w:val="21"/>
          <w:szCs w:val="21"/>
        </w:rPr>
      </w:pPr>
      <w:r>
        <w:rPr>
          <w:rFonts w:hint="eastAsia" w:hAnsi="宋体" w:cs="宋体"/>
          <w:b/>
          <w:bCs/>
          <w:sz w:val="21"/>
          <w:szCs w:val="21"/>
        </w:rPr>
        <w:t>（</w:t>
      </w:r>
      <w:r>
        <w:rPr>
          <w:rFonts w:hint="eastAsia" w:hAnsi="宋体" w:cs="宋体"/>
          <w:b/>
          <w:bCs/>
          <w:sz w:val="21"/>
          <w:szCs w:val="21"/>
          <w:lang w:val="en-US"/>
        </w:rPr>
        <w:t>三</w:t>
      </w:r>
      <w:r>
        <w:rPr>
          <w:rFonts w:hint="eastAsia" w:hAnsi="宋体" w:cs="宋体"/>
          <w:b/>
          <w:bCs/>
          <w:sz w:val="21"/>
          <w:szCs w:val="21"/>
        </w:rPr>
        <w:t>）其他责任</w:t>
      </w:r>
    </w:p>
    <w:p>
      <w:pPr>
        <w:pStyle w:val="29"/>
        <w:numPr>
          <w:ilvl w:val="0"/>
          <w:numId w:val="12"/>
        </w:numPr>
        <w:spacing w:line="360" w:lineRule="auto"/>
        <w:ind w:left="0" w:firstLine="426" w:firstLineChars="0"/>
        <w:rPr>
          <w:rFonts w:hAnsi="宋体" w:cs="宋体"/>
          <w:sz w:val="21"/>
          <w:szCs w:val="21"/>
        </w:rPr>
      </w:pPr>
      <w:r>
        <w:rPr>
          <w:rFonts w:hint="eastAsia" w:hAnsi="宋体" w:cs="宋体"/>
          <w:sz w:val="21"/>
        </w:rPr>
        <w:t>乙方因违反合同第七条第（二）款约定的情形，或者其他违法违规行为，造成甲方损失或被审计单位、相关单位及个人损失的，应当予以赔偿，并应承担守约方因实现债权而产生的费用</w:t>
      </w:r>
      <w:r>
        <w:rPr>
          <w:rFonts w:hint="eastAsia" w:hAnsi="宋体" w:cs="宋体"/>
          <w:sz w:val="21"/>
          <w:szCs w:val="21"/>
        </w:rPr>
        <w:t>（包括但不限于：律师费、差旅费、诉讼费、保全费、执行费等）。</w:t>
      </w:r>
    </w:p>
    <w:p>
      <w:pPr>
        <w:pStyle w:val="29"/>
        <w:numPr>
          <w:ilvl w:val="0"/>
          <w:numId w:val="12"/>
        </w:numPr>
        <w:spacing w:line="360" w:lineRule="auto"/>
        <w:ind w:left="0" w:firstLine="426" w:firstLineChars="0"/>
        <w:rPr>
          <w:rFonts w:hAnsi="宋体" w:cs="宋体"/>
          <w:sz w:val="21"/>
        </w:rPr>
      </w:pPr>
      <w:r>
        <w:rPr>
          <w:rFonts w:hint="eastAsia" w:hAnsi="宋体" w:cs="宋体"/>
          <w:sz w:val="21"/>
        </w:rPr>
        <w:t>乙方人员出现滥用职权、徇私舞弊、索贿受贿等违法违规行为，构成犯罪的，依法移送司法机构追究刑事责任。</w:t>
      </w:r>
    </w:p>
    <w:p>
      <w:pPr>
        <w:pStyle w:val="29"/>
        <w:numPr>
          <w:ilvl w:val="0"/>
          <w:numId w:val="12"/>
        </w:numPr>
        <w:spacing w:line="360" w:lineRule="auto"/>
        <w:ind w:left="0" w:firstLine="426" w:firstLineChars="0"/>
        <w:rPr>
          <w:rFonts w:hAnsi="宋体" w:cs="宋体"/>
          <w:sz w:val="21"/>
        </w:rPr>
      </w:pPr>
      <w:r>
        <w:rPr>
          <w:rFonts w:hint="eastAsia" w:hAnsi="宋体" w:cs="宋体"/>
          <w:sz w:val="21"/>
        </w:rPr>
        <w:t>乙方出现包括第六条第（二）款所列情形在内的违法违规、严重不履行合同义务的，应赔偿由此造成甲方或丙方的全部损失，同时甲方有权根据问题性质和情节轻重，向相关行政主管部门报告。</w:t>
      </w:r>
    </w:p>
    <w:p>
      <w:pPr>
        <w:pStyle w:val="29"/>
        <w:numPr>
          <w:ilvl w:val="0"/>
          <w:numId w:val="12"/>
        </w:numPr>
        <w:spacing w:line="360" w:lineRule="auto"/>
        <w:ind w:left="0" w:firstLine="426" w:firstLineChars="0"/>
        <w:rPr>
          <w:rFonts w:hAnsi="宋体" w:cs="宋体"/>
          <w:sz w:val="21"/>
        </w:rPr>
      </w:pPr>
      <w:r>
        <w:rPr>
          <w:rFonts w:hint="eastAsia" w:hAnsi="宋体" w:cs="宋体"/>
          <w:sz w:val="21"/>
        </w:rPr>
        <w:t>甲方对乙方出具的报告进行复核不免除乙方对其所出具报告内容的合法性、真实性、准确性责任，如因此造成甲方或丙方相应损失的，乙方应予以赔偿。</w:t>
      </w:r>
    </w:p>
    <w:p>
      <w:pPr>
        <w:pStyle w:val="5"/>
        <w:ind w:firstLine="426" w:firstLineChars="202"/>
        <w:rPr>
          <w:rFonts w:hAnsi="宋体" w:cs="宋体"/>
          <w:sz w:val="21"/>
          <w:szCs w:val="21"/>
        </w:rPr>
      </w:pPr>
      <w:r>
        <w:rPr>
          <w:rFonts w:hint="eastAsia" w:hAnsi="宋体" w:cs="宋体"/>
          <w:sz w:val="21"/>
          <w:szCs w:val="21"/>
        </w:rPr>
        <w:t>八、本合同在履行过程中发生的争议，由</w:t>
      </w:r>
      <w:r>
        <w:rPr>
          <w:rFonts w:hint="eastAsia" w:hAnsi="宋体" w:cs="宋体"/>
          <w:sz w:val="21"/>
          <w:szCs w:val="21"/>
          <w:lang w:val="en-US"/>
        </w:rPr>
        <w:t>双</w:t>
      </w:r>
      <w:r>
        <w:rPr>
          <w:rFonts w:hint="eastAsia" w:hAnsi="宋体" w:cs="宋体"/>
          <w:sz w:val="21"/>
          <w:szCs w:val="21"/>
        </w:rPr>
        <w:t>方当事人协商解决，协商不成的按下列第 2 种方式解决。</w:t>
      </w:r>
    </w:p>
    <w:p>
      <w:pPr>
        <w:numPr>
          <w:ilvl w:val="255"/>
          <w:numId w:val="0"/>
        </w:numPr>
        <w:tabs>
          <w:tab w:val="left" w:pos="963"/>
        </w:tabs>
        <w:spacing w:line="360" w:lineRule="auto"/>
        <w:ind w:left="444" w:leftChars="202"/>
        <w:rPr>
          <w:rFonts w:hAnsi="宋体" w:cs="宋体"/>
          <w:color w:val="000000" w:themeColor="text1"/>
          <w:sz w:val="21"/>
          <w14:textFill>
            <w14:solidFill>
              <w14:schemeClr w14:val="tx1"/>
            </w14:solidFill>
          </w14:textFill>
        </w:rPr>
      </w:pPr>
      <w:r>
        <w:rPr>
          <w:rFonts w:hint="eastAsia" w:hAnsi="宋体" w:cs="宋体"/>
          <w:color w:val="000000" w:themeColor="text1"/>
          <w:sz w:val="21"/>
          <w:lang w:val="en-US"/>
          <w14:textFill>
            <w14:solidFill>
              <w14:schemeClr w14:val="tx1"/>
            </w14:solidFill>
          </w14:textFill>
        </w:rPr>
        <w:t>1.</w:t>
      </w:r>
      <w:r>
        <w:rPr>
          <w:rFonts w:hint="eastAsia" w:hAnsi="宋体" w:cs="宋体"/>
          <w:color w:val="000000" w:themeColor="text1"/>
          <w:sz w:val="21"/>
          <w14:textFill>
            <w14:solidFill>
              <w14:schemeClr w14:val="tx1"/>
            </w14:solidFill>
          </w14:textFill>
        </w:rPr>
        <w:t>提交成都仲裁委员会仲裁；</w:t>
      </w:r>
    </w:p>
    <w:p>
      <w:pPr>
        <w:numPr>
          <w:ilvl w:val="255"/>
          <w:numId w:val="0"/>
        </w:numPr>
        <w:tabs>
          <w:tab w:val="left" w:pos="963"/>
        </w:tabs>
        <w:spacing w:line="360" w:lineRule="auto"/>
        <w:ind w:left="444" w:leftChars="202"/>
        <w:rPr>
          <w:rFonts w:hAnsi="宋体" w:cs="宋体"/>
          <w:color w:val="000000" w:themeColor="text1"/>
          <w:sz w:val="21"/>
          <w14:textFill>
            <w14:solidFill>
              <w14:schemeClr w14:val="tx1"/>
            </w14:solidFill>
          </w14:textFill>
        </w:rPr>
      </w:pPr>
      <w:r>
        <w:rPr>
          <w:rFonts w:hint="eastAsia" w:hAnsi="宋体" w:cs="宋体"/>
          <w:color w:val="000000" w:themeColor="text1"/>
          <w:sz w:val="21"/>
          <w:lang w:val="en-US"/>
          <w14:textFill>
            <w14:solidFill>
              <w14:schemeClr w14:val="tx1"/>
            </w14:solidFill>
          </w14:textFill>
        </w:rPr>
        <w:t>2.</w:t>
      </w:r>
      <w:r>
        <w:rPr>
          <w:rFonts w:hint="eastAsia" w:hAnsi="宋体" w:cs="宋体"/>
          <w:color w:val="000000" w:themeColor="text1"/>
          <w:sz w:val="21"/>
          <w14:textFill>
            <w14:solidFill>
              <w14:schemeClr w14:val="tx1"/>
            </w14:solidFill>
          </w14:textFill>
        </w:rPr>
        <w:t>依法</w:t>
      </w:r>
      <w:r>
        <w:rPr>
          <w:rFonts w:hint="eastAsia" w:hAnsi="宋体" w:cs="宋体"/>
          <w:color w:val="000000" w:themeColor="text1"/>
          <w:sz w:val="21"/>
          <w:lang w:val="en-US"/>
          <w14:textFill>
            <w14:solidFill>
              <w14:schemeClr w14:val="tx1"/>
            </w14:solidFill>
          </w14:textFill>
        </w:rPr>
        <w:t>甲方1所在地人</w:t>
      </w:r>
      <w:r>
        <w:rPr>
          <w:rFonts w:hint="eastAsia" w:hAnsi="宋体" w:cs="宋体"/>
          <w:color w:val="000000" w:themeColor="text1"/>
          <w:sz w:val="21"/>
          <w14:textFill>
            <w14:solidFill>
              <w14:schemeClr w14:val="tx1"/>
            </w14:solidFill>
          </w14:textFill>
        </w:rPr>
        <w:t>民法院起诉。</w:t>
      </w:r>
    </w:p>
    <w:p>
      <w:pPr>
        <w:pStyle w:val="5"/>
        <w:ind w:firstLine="426" w:firstLineChars="202"/>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九、严格遵守审计纪律，切实履行好有关廉政规定。</w:t>
      </w:r>
    </w:p>
    <w:p>
      <w:pPr>
        <w:spacing w:line="360" w:lineRule="auto"/>
        <w:ind w:right="671" w:firstLine="424" w:firstLineChars="202"/>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甲、乙</w:t>
      </w:r>
      <w:r>
        <w:rPr>
          <w:rFonts w:hint="eastAsia" w:hAnsi="宋体" w:cs="宋体"/>
          <w:color w:val="000000" w:themeColor="text1"/>
          <w:sz w:val="21"/>
          <w:szCs w:val="21"/>
          <w:lang w:val="en-US"/>
          <w14:textFill>
            <w14:solidFill>
              <w14:schemeClr w14:val="tx1"/>
            </w14:solidFill>
          </w14:textFill>
        </w:rPr>
        <w:t>双</w:t>
      </w:r>
      <w:r>
        <w:rPr>
          <w:rFonts w:hint="eastAsia" w:hAnsi="宋体" w:cs="宋体"/>
          <w:color w:val="000000" w:themeColor="text1"/>
          <w:sz w:val="21"/>
          <w:szCs w:val="21"/>
          <w14:textFill>
            <w14:solidFill>
              <w14:schemeClr w14:val="tx1"/>
            </w14:solidFill>
          </w14:textFill>
        </w:rPr>
        <w:t>方人员应禁止赠送、贿赂、索要行为发生，如遇到某方发生，其余方当事人应立即报告领导和有关管辖权的纪检、监察、检察机关。对不主动报告情况的有关人员，一经查处视情节轻重给予党纪、政纪处分直至追究法律责任。</w:t>
      </w:r>
    </w:p>
    <w:p>
      <w:pPr>
        <w:pStyle w:val="5"/>
        <w:ind w:firstLine="424" w:firstLineChars="202"/>
        <w:rPr>
          <w:rFonts w:hAnsi="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14:textFill>
            <w14:solidFill>
              <w14:schemeClr w14:val="tx1"/>
            </w14:solidFill>
          </w14:textFill>
        </w:rPr>
        <w:t>十、其他未尽事宜以现行有关法律法规的有关规定为准。</w:t>
      </w:r>
    </w:p>
    <w:p>
      <w:pPr>
        <w:pStyle w:val="5"/>
        <w:ind w:firstLine="424" w:firstLineChars="202"/>
        <w:rPr>
          <w:rFonts w:hAnsi="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14:textFill>
            <w14:solidFill>
              <w14:schemeClr w14:val="tx1"/>
            </w14:solidFill>
          </w14:textFill>
        </w:rPr>
        <w:t>十一、本合同经甲、乙、双方签字/签章并加盖单位公章后生效，双方的责任与义务履行完后自动失效，但乙方应遵守的保密义务不因本合同的解除、终止而解除、终止。</w:t>
      </w:r>
    </w:p>
    <w:p>
      <w:pPr>
        <w:pStyle w:val="5"/>
        <w:ind w:firstLine="422" w:firstLineChars="202"/>
        <w:rPr>
          <w:rFonts w:hAnsi="宋体" w:cs="宋体"/>
          <w:spacing w:val="-1"/>
          <w:sz w:val="21"/>
          <w:szCs w:val="21"/>
        </w:rPr>
      </w:pPr>
      <w:r>
        <w:rPr>
          <w:rFonts w:hint="eastAsia" w:hAnsi="宋体" w:cs="宋体"/>
          <w:spacing w:val="-1"/>
          <w:sz w:val="21"/>
          <w:szCs w:val="21"/>
        </w:rPr>
        <w:t>十二、本合同一式</w:t>
      </w:r>
      <w:r>
        <w:rPr>
          <w:rFonts w:hint="eastAsia" w:hAnsi="宋体" w:cs="宋体"/>
          <w:spacing w:val="-1"/>
          <w:sz w:val="21"/>
          <w:szCs w:val="21"/>
          <w:lang w:val="en-US"/>
        </w:rPr>
        <w:t>陆</w:t>
      </w:r>
      <w:r>
        <w:rPr>
          <w:rFonts w:hint="eastAsia" w:hAnsi="宋体" w:cs="宋体"/>
          <w:spacing w:val="-1"/>
          <w:sz w:val="21"/>
          <w:szCs w:val="21"/>
        </w:rPr>
        <w:t>份，甲</w:t>
      </w:r>
      <w:r>
        <w:rPr>
          <w:rFonts w:hint="eastAsia" w:hAnsi="宋体" w:cs="宋体"/>
          <w:spacing w:val="-1"/>
          <w:sz w:val="21"/>
          <w:szCs w:val="21"/>
          <w:lang w:val="en-US"/>
        </w:rPr>
        <w:t>方1贰份</w:t>
      </w:r>
      <w:r>
        <w:rPr>
          <w:rFonts w:hint="eastAsia" w:hAnsi="宋体" w:cs="宋体"/>
          <w:spacing w:val="-1"/>
          <w:sz w:val="21"/>
          <w:szCs w:val="21"/>
        </w:rPr>
        <w:t>、</w:t>
      </w:r>
      <w:r>
        <w:rPr>
          <w:rFonts w:hint="eastAsia" w:hAnsi="宋体" w:cs="宋体"/>
          <w:spacing w:val="-1"/>
          <w:sz w:val="21"/>
          <w:szCs w:val="21"/>
          <w:lang w:val="en-US"/>
        </w:rPr>
        <w:t>甲方2贰份、</w:t>
      </w:r>
      <w:r>
        <w:rPr>
          <w:rFonts w:hint="eastAsia" w:hAnsi="宋体" w:cs="宋体"/>
          <w:spacing w:val="-1"/>
          <w:sz w:val="21"/>
          <w:szCs w:val="21"/>
        </w:rPr>
        <w:t>乙方</w:t>
      </w:r>
      <w:r>
        <w:rPr>
          <w:rFonts w:hint="eastAsia" w:hAnsi="宋体" w:cs="宋体"/>
          <w:spacing w:val="-1"/>
          <w:sz w:val="21"/>
          <w:szCs w:val="21"/>
          <w:lang w:val="en-US"/>
        </w:rPr>
        <w:t>贰</w:t>
      </w:r>
      <w:r>
        <w:rPr>
          <w:rFonts w:hint="eastAsia" w:hAnsi="宋体" w:cs="宋体"/>
          <w:spacing w:val="-1"/>
          <w:sz w:val="21"/>
          <w:szCs w:val="21"/>
        </w:rPr>
        <w:t>份。</w:t>
      </w:r>
    </w:p>
    <w:p>
      <w:pPr>
        <w:pStyle w:val="5"/>
        <w:ind w:firstLine="426" w:firstLineChars="202"/>
        <w:rPr>
          <w:rFonts w:hAnsi="宋体" w:cs="宋体"/>
          <w:sz w:val="21"/>
          <w:szCs w:val="21"/>
        </w:rPr>
      </w:pPr>
      <w:r>
        <w:rPr>
          <w:rFonts w:hint="eastAsia" w:hAnsi="宋体" w:cs="宋体"/>
          <w:sz w:val="21"/>
          <w:szCs w:val="21"/>
        </w:rPr>
        <w:t>十三、本合同解释权归甲方。</w:t>
      </w:r>
    </w:p>
    <w:p>
      <w:pPr>
        <w:tabs>
          <w:tab w:val="left" w:pos="966"/>
        </w:tabs>
        <w:spacing w:line="360" w:lineRule="auto"/>
        <w:ind w:right="84" w:firstLine="424" w:firstLineChars="202"/>
        <w:rPr>
          <w:rFonts w:hAnsi="宋体" w:cs="宋体"/>
          <w:spacing w:val="-10"/>
          <w:sz w:val="21"/>
          <w:szCs w:val="21"/>
        </w:rPr>
      </w:pPr>
      <w:r>
        <w:rPr>
          <w:rFonts w:hint="eastAsia" w:hAnsi="宋体" w:cs="宋体"/>
          <w:sz w:val="21"/>
          <w:szCs w:val="21"/>
        </w:rPr>
        <w:t>附件1《审计工作质量及保密承诺书</w:t>
      </w:r>
      <w:r>
        <w:rPr>
          <w:rFonts w:hint="eastAsia" w:hAnsi="宋体" w:cs="宋体"/>
          <w:spacing w:val="-10"/>
          <w:sz w:val="21"/>
          <w:szCs w:val="21"/>
        </w:rPr>
        <w:t>》</w:t>
      </w:r>
    </w:p>
    <w:p>
      <w:pPr>
        <w:tabs>
          <w:tab w:val="left" w:pos="966"/>
        </w:tabs>
        <w:spacing w:line="360" w:lineRule="auto"/>
        <w:ind w:right="5315" w:firstLine="424" w:firstLineChars="202"/>
        <w:rPr>
          <w:rFonts w:hAnsi="宋体" w:cs="宋体"/>
          <w:sz w:val="21"/>
          <w:szCs w:val="21"/>
        </w:rPr>
      </w:pPr>
      <w:r>
        <w:rPr>
          <w:rFonts w:hint="eastAsia" w:hAnsi="宋体" w:cs="宋体"/>
          <w:sz w:val="21"/>
          <w:szCs w:val="21"/>
        </w:rPr>
        <w:t>附件2 《审计廉洁承诺书》</w:t>
      </w:r>
    </w:p>
    <w:p>
      <w:pPr>
        <w:tabs>
          <w:tab w:val="left" w:pos="2538"/>
          <w:tab w:val="left" w:pos="4869"/>
        </w:tabs>
        <w:spacing w:line="360" w:lineRule="auto"/>
        <w:ind w:firstLine="424" w:firstLineChars="202"/>
        <w:rPr>
          <w:rFonts w:hAnsi="宋体" w:cs="宋体"/>
          <w:position w:val="-4"/>
          <w:sz w:val="21"/>
          <w:szCs w:val="21"/>
        </w:rPr>
      </w:pPr>
    </w:p>
    <w:p>
      <w:pPr>
        <w:tabs>
          <w:tab w:val="left" w:pos="2538"/>
          <w:tab w:val="left" w:pos="4869"/>
        </w:tabs>
        <w:spacing w:line="360" w:lineRule="auto"/>
        <w:ind w:firstLine="424" w:firstLineChars="202"/>
        <w:rPr>
          <w:rFonts w:hAnsi="宋体" w:cs="宋体"/>
          <w:sz w:val="21"/>
          <w:szCs w:val="21"/>
        </w:rPr>
      </w:pPr>
      <w:r>
        <w:rPr>
          <w:rFonts w:hint="eastAsia" w:hAnsi="宋体" w:cs="宋体"/>
          <w:position w:val="-4"/>
          <w:sz w:val="21"/>
          <w:szCs w:val="21"/>
        </w:rPr>
        <w:t>甲方</w:t>
      </w:r>
      <w:r>
        <w:rPr>
          <w:rFonts w:hint="eastAsia" w:hAnsi="宋体" w:cs="宋体"/>
          <w:position w:val="-4"/>
          <w:sz w:val="21"/>
          <w:szCs w:val="21"/>
          <w:lang w:val="en-US"/>
        </w:rPr>
        <w:t>1</w:t>
      </w:r>
      <w:r>
        <w:rPr>
          <w:rFonts w:hint="eastAsia" w:hAnsi="宋体" w:cs="宋体"/>
          <w:spacing w:val="-3"/>
          <w:position w:val="-4"/>
          <w:sz w:val="21"/>
          <w:szCs w:val="21"/>
        </w:rPr>
        <w:t>：</w:t>
      </w:r>
      <w:r>
        <w:rPr>
          <w:rFonts w:hint="eastAsia" w:hAnsi="宋体" w:cs="宋体"/>
          <w:spacing w:val="-3"/>
          <w:position w:val="-4"/>
          <w:sz w:val="21"/>
          <w:szCs w:val="21"/>
          <w:u w:val="single"/>
        </w:rPr>
        <w:t>（</w:t>
      </w:r>
      <w:r>
        <w:rPr>
          <w:rFonts w:hint="eastAsia" w:hAnsi="宋体" w:cs="宋体"/>
          <w:position w:val="-4"/>
          <w:sz w:val="21"/>
          <w:szCs w:val="21"/>
          <w:u w:val="single"/>
        </w:rPr>
        <w:t>单</w:t>
      </w:r>
      <w:r>
        <w:rPr>
          <w:rFonts w:hint="eastAsia" w:hAnsi="宋体" w:cs="宋体"/>
          <w:spacing w:val="-5"/>
          <w:position w:val="-4"/>
          <w:sz w:val="21"/>
          <w:szCs w:val="21"/>
          <w:u w:val="single"/>
        </w:rPr>
        <w:t>位</w:t>
      </w:r>
      <w:r>
        <w:rPr>
          <w:rFonts w:hint="eastAsia" w:hAnsi="宋体" w:cs="宋体"/>
          <w:position w:val="-4"/>
          <w:sz w:val="21"/>
          <w:szCs w:val="21"/>
          <w:u w:val="single"/>
        </w:rPr>
        <w:t>全</w:t>
      </w:r>
      <w:r>
        <w:rPr>
          <w:rFonts w:hint="eastAsia" w:hAnsi="宋体" w:cs="宋体"/>
          <w:spacing w:val="-5"/>
          <w:position w:val="-4"/>
          <w:sz w:val="21"/>
          <w:szCs w:val="21"/>
          <w:u w:val="single"/>
        </w:rPr>
        <w:t>称</w:t>
      </w:r>
      <w:r>
        <w:rPr>
          <w:rFonts w:hint="eastAsia" w:hAnsi="宋体" w:cs="宋体"/>
          <w:position w:val="-4"/>
          <w:sz w:val="21"/>
          <w:szCs w:val="21"/>
          <w:u w:val="single"/>
        </w:rPr>
        <w:t>）</w:t>
      </w:r>
      <w:r>
        <w:rPr>
          <w:rFonts w:hint="eastAsia" w:hAnsi="宋体" w:cs="宋体"/>
          <w:position w:val="-4"/>
          <w:sz w:val="21"/>
          <w:szCs w:val="21"/>
          <w:u w:val="single"/>
        </w:rPr>
        <w:tab/>
      </w:r>
      <w:r>
        <w:rPr>
          <w:rFonts w:hint="eastAsia" w:hAnsi="宋体" w:cs="宋体"/>
          <w:position w:val="-4"/>
          <w:sz w:val="21"/>
          <w:szCs w:val="21"/>
        </w:rPr>
        <w:t>（</w:t>
      </w:r>
      <w:r>
        <w:rPr>
          <w:rFonts w:hint="eastAsia" w:hAnsi="宋体" w:cs="宋体"/>
          <w:spacing w:val="-5"/>
          <w:position w:val="-4"/>
          <w:sz w:val="21"/>
          <w:szCs w:val="21"/>
        </w:rPr>
        <w:t>盖</w:t>
      </w:r>
      <w:r>
        <w:rPr>
          <w:rFonts w:hint="eastAsia" w:hAnsi="宋体" w:cs="宋体"/>
          <w:position w:val="-4"/>
          <w:sz w:val="21"/>
          <w:szCs w:val="21"/>
        </w:rPr>
        <w:t>单</w:t>
      </w:r>
      <w:r>
        <w:rPr>
          <w:rFonts w:hint="eastAsia" w:hAnsi="宋体" w:cs="宋体"/>
          <w:spacing w:val="-5"/>
          <w:position w:val="-4"/>
          <w:sz w:val="21"/>
          <w:szCs w:val="21"/>
        </w:rPr>
        <w:t>位</w:t>
      </w:r>
      <w:r>
        <w:rPr>
          <w:rFonts w:hint="eastAsia" w:hAnsi="宋体" w:cs="宋体"/>
          <w:position w:val="-4"/>
          <w:sz w:val="21"/>
          <w:szCs w:val="21"/>
        </w:rPr>
        <w:t>章）</w:t>
      </w:r>
      <w:r>
        <w:rPr>
          <w:rFonts w:hint="eastAsia" w:hAnsi="宋体" w:cs="宋体"/>
          <w:position w:val="-4"/>
          <w:sz w:val="21"/>
          <w:szCs w:val="21"/>
        </w:rPr>
        <w:tab/>
      </w:r>
      <w:r>
        <w:rPr>
          <w:rFonts w:hint="eastAsia" w:hAnsi="宋体" w:cs="宋体"/>
          <w:sz w:val="21"/>
          <w:szCs w:val="21"/>
          <w:lang w:val="en-US"/>
        </w:rPr>
        <w:t>甲</w:t>
      </w:r>
      <w:r>
        <w:rPr>
          <w:rFonts w:hint="eastAsia" w:hAnsi="宋体" w:cs="宋体"/>
          <w:sz w:val="21"/>
          <w:szCs w:val="21"/>
        </w:rPr>
        <w:t>方</w:t>
      </w:r>
      <w:r>
        <w:rPr>
          <w:rFonts w:hint="eastAsia" w:hAnsi="宋体" w:cs="宋体"/>
          <w:sz w:val="21"/>
          <w:szCs w:val="21"/>
          <w:lang w:val="en-US"/>
        </w:rPr>
        <w:t>2</w:t>
      </w:r>
      <w:r>
        <w:rPr>
          <w:rFonts w:hint="eastAsia" w:hAnsi="宋体" w:cs="宋体"/>
          <w:sz w:val="21"/>
          <w:szCs w:val="21"/>
        </w:rPr>
        <w:t>：</w:t>
      </w:r>
      <w:r>
        <w:rPr>
          <w:rFonts w:hint="eastAsia" w:hAnsi="宋体" w:cs="宋体"/>
          <w:sz w:val="21"/>
          <w:szCs w:val="21"/>
          <w:u w:val="single"/>
        </w:rPr>
        <w:t>（</w:t>
      </w:r>
      <w:r>
        <w:rPr>
          <w:rFonts w:hint="eastAsia" w:hAnsi="宋体" w:cs="宋体"/>
          <w:spacing w:val="-5"/>
          <w:sz w:val="21"/>
          <w:szCs w:val="21"/>
          <w:u w:val="single"/>
        </w:rPr>
        <w:t>单</w:t>
      </w:r>
      <w:r>
        <w:rPr>
          <w:rFonts w:hint="eastAsia" w:hAnsi="宋体" w:cs="宋体"/>
          <w:sz w:val="21"/>
          <w:szCs w:val="21"/>
          <w:u w:val="single"/>
        </w:rPr>
        <w:t>位</w:t>
      </w:r>
      <w:r>
        <w:rPr>
          <w:rFonts w:hint="eastAsia" w:hAnsi="宋体" w:cs="宋体"/>
          <w:spacing w:val="-5"/>
          <w:sz w:val="21"/>
          <w:szCs w:val="21"/>
          <w:u w:val="single"/>
        </w:rPr>
        <w:t>全</w:t>
      </w:r>
      <w:r>
        <w:rPr>
          <w:rFonts w:hint="eastAsia" w:hAnsi="宋体" w:cs="宋体"/>
          <w:sz w:val="21"/>
          <w:szCs w:val="21"/>
          <w:u w:val="single"/>
        </w:rPr>
        <w:t>称）</w:t>
      </w:r>
      <w:r>
        <w:rPr>
          <w:rFonts w:hint="eastAsia" w:hAnsi="宋体" w:cs="宋体"/>
          <w:sz w:val="21"/>
          <w:szCs w:val="21"/>
        </w:rPr>
        <w:t>（盖</w:t>
      </w:r>
      <w:r>
        <w:rPr>
          <w:rFonts w:hint="eastAsia" w:hAnsi="宋体" w:cs="宋体"/>
          <w:spacing w:val="-5"/>
          <w:sz w:val="21"/>
          <w:szCs w:val="21"/>
        </w:rPr>
        <w:t>单</w:t>
      </w:r>
      <w:r>
        <w:rPr>
          <w:rFonts w:hint="eastAsia" w:hAnsi="宋体" w:cs="宋体"/>
          <w:sz w:val="21"/>
          <w:szCs w:val="21"/>
        </w:rPr>
        <w:t>位</w:t>
      </w:r>
      <w:r>
        <w:rPr>
          <w:rFonts w:hint="eastAsia" w:hAnsi="宋体" w:cs="宋体"/>
          <w:spacing w:val="-5"/>
          <w:sz w:val="21"/>
          <w:szCs w:val="21"/>
        </w:rPr>
        <w:t>章</w:t>
      </w:r>
      <w:r>
        <w:rPr>
          <w:rFonts w:hint="eastAsia" w:hAnsi="宋体" w:cs="宋体"/>
          <w:sz w:val="21"/>
          <w:szCs w:val="21"/>
        </w:rPr>
        <w:t>）</w:t>
      </w:r>
    </w:p>
    <w:p>
      <w:pPr>
        <w:tabs>
          <w:tab w:val="left" w:pos="2538"/>
          <w:tab w:val="left" w:pos="4869"/>
        </w:tabs>
        <w:spacing w:line="360" w:lineRule="auto"/>
        <w:ind w:firstLine="424" w:firstLineChars="202"/>
        <w:rPr>
          <w:rFonts w:hAnsi="宋体" w:cs="宋体"/>
          <w:sz w:val="21"/>
          <w:szCs w:val="21"/>
          <w:u w:val="single"/>
        </w:rPr>
      </w:pPr>
      <w:r>
        <w:rPr>
          <w:rFonts w:hint="eastAsia" w:hAnsi="宋体" w:cs="宋体"/>
          <w:sz w:val="21"/>
          <w:szCs w:val="21"/>
        </w:rPr>
        <w:t xml:space="preserve">               </w:t>
      </w:r>
      <w:r>
        <w:rPr>
          <w:rFonts w:hint="eastAsia" w:hAnsi="宋体" w:cs="宋体"/>
          <w:w w:val="95"/>
          <w:sz w:val="21"/>
          <w:szCs w:val="21"/>
        </w:rPr>
        <w:t xml:space="preserve">                </w:t>
      </w:r>
    </w:p>
    <w:p>
      <w:pPr>
        <w:tabs>
          <w:tab w:val="left" w:pos="1384"/>
          <w:tab w:val="left" w:pos="1907"/>
          <w:tab w:val="left" w:pos="4869"/>
          <w:tab w:val="left" w:pos="5920"/>
          <w:tab w:val="left" w:pos="6443"/>
          <w:tab w:val="left" w:pos="6863"/>
        </w:tabs>
        <w:spacing w:line="360" w:lineRule="auto"/>
        <w:ind w:right="2772" w:firstLine="424" w:firstLineChars="202"/>
        <w:rPr>
          <w:rFonts w:hAnsi="宋体" w:cs="宋体"/>
          <w:spacing w:val="-18"/>
          <w:sz w:val="21"/>
          <w:szCs w:val="21"/>
        </w:rPr>
      </w:pPr>
      <w:r>
        <w:rPr>
          <w:rFonts w:hint="eastAsia" w:hAnsi="宋体" w:cs="宋体"/>
          <w:sz w:val="21"/>
          <w:szCs w:val="21"/>
        </w:rPr>
        <w:t>日期：</w:t>
      </w:r>
      <w:r>
        <w:rPr>
          <w:rFonts w:hint="eastAsia" w:hAnsi="宋体" w:cs="宋体"/>
          <w:sz w:val="21"/>
          <w:szCs w:val="21"/>
        </w:rPr>
        <w:tab/>
      </w:r>
      <w:r>
        <w:rPr>
          <w:rFonts w:hint="eastAsia" w:hAnsi="宋体" w:cs="宋体"/>
          <w:sz w:val="21"/>
          <w:szCs w:val="21"/>
        </w:rPr>
        <w:t>年</w:t>
      </w:r>
      <w:r>
        <w:rPr>
          <w:rFonts w:hint="eastAsia" w:hAnsi="宋体" w:cs="宋体"/>
          <w:sz w:val="21"/>
          <w:szCs w:val="21"/>
        </w:rPr>
        <w:tab/>
      </w:r>
      <w:r>
        <w:rPr>
          <w:rFonts w:hint="eastAsia" w:hAnsi="宋体" w:cs="宋体"/>
          <w:sz w:val="21"/>
          <w:szCs w:val="21"/>
        </w:rPr>
        <w:t>月</w:t>
      </w:r>
      <w:r>
        <w:rPr>
          <w:rFonts w:hint="eastAsia" w:hAnsi="宋体" w:cs="宋体"/>
          <w:spacing w:val="1"/>
          <w:sz w:val="21"/>
          <w:szCs w:val="21"/>
        </w:rPr>
        <w:t xml:space="preserve"> </w:t>
      </w:r>
      <w:r>
        <w:rPr>
          <w:rFonts w:hint="eastAsia" w:hAnsi="宋体" w:cs="宋体"/>
          <w:sz w:val="21"/>
          <w:szCs w:val="21"/>
        </w:rPr>
        <w:t>日</w:t>
      </w:r>
      <w:r>
        <w:rPr>
          <w:rFonts w:hint="eastAsia" w:hAnsi="宋体" w:cs="宋体"/>
          <w:sz w:val="21"/>
          <w:szCs w:val="21"/>
        </w:rPr>
        <w:tab/>
      </w:r>
      <w:r>
        <w:rPr>
          <w:rFonts w:hint="eastAsia" w:hAnsi="宋体" w:cs="宋体"/>
          <w:sz w:val="21"/>
          <w:szCs w:val="21"/>
        </w:rPr>
        <w:t>日期：</w:t>
      </w:r>
      <w:r>
        <w:rPr>
          <w:rFonts w:hint="eastAsia" w:hAnsi="宋体" w:cs="宋体"/>
          <w:sz w:val="21"/>
          <w:szCs w:val="21"/>
        </w:rPr>
        <w:tab/>
      </w:r>
      <w:r>
        <w:rPr>
          <w:rFonts w:hint="eastAsia" w:hAnsi="宋体" w:cs="宋体"/>
          <w:sz w:val="21"/>
          <w:szCs w:val="21"/>
        </w:rPr>
        <w:t>年</w:t>
      </w:r>
      <w:r>
        <w:rPr>
          <w:rFonts w:hint="eastAsia" w:hAnsi="宋体" w:cs="宋体"/>
          <w:sz w:val="21"/>
          <w:szCs w:val="21"/>
        </w:rPr>
        <w:tab/>
      </w:r>
      <w:r>
        <w:rPr>
          <w:rFonts w:hint="eastAsia" w:hAnsi="宋体" w:cs="宋体"/>
          <w:sz w:val="21"/>
          <w:szCs w:val="21"/>
        </w:rPr>
        <w:t>月</w:t>
      </w:r>
      <w:r>
        <w:rPr>
          <w:rFonts w:hint="eastAsia" w:hAnsi="宋体" w:cs="宋体"/>
          <w:sz w:val="21"/>
          <w:szCs w:val="21"/>
        </w:rPr>
        <w:tab/>
      </w:r>
      <w:r>
        <w:rPr>
          <w:rFonts w:hint="eastAsia" w:hAnsi="宋体" w:cs="宋体"/>
          <w:spacing w:val="-18"/>
          <w:sz w:val="21"/>
          <w:szCs w:val="21"/>
        </w:rPr>
        <w:t>日</w:t>
      </w:r>
    </w:p>
    <w:p>
      <w:pPr>
        <w:rPr>
          <w:rFonts w:hAnsi="宋体" w:cs="宋体"/>
          <w:spacing w:val="-18"/>
          <w:sz w:val="21"/>
          <w:szCs w:val="21"/>
        </w:rPr>
      </w:pPr>
    </w:p>
    <w:p>
      <w:pPr>
        <w:spacing w:line="360" w:lineRule="auto"/>
        <w:ind w:firstLine="420" w:firstLineChars="200"/>
        <w:rPr>
          <w:rFonts w:hAnsi="宋体" w:cs="宋体"/>
          <w:position w:val="-4"/>
          <w:sz w:val="21"/>
          <w:szCs w:val="21"/>
        </w:rPr>
      </w:pPr>
      <w:r>
        <w:rPr>
          <w:rFonts w:hint="eastAsia" w:hAnsi="宋体" w:cs="宋体"/>
          <w:position w:val="-4"/>
          <w:sz w:val="21"/>
          <w:szCs w:val="21"/>
          <w:lang w:val="en-US"/>
        </w:rPr>
        <w:t>乙</w:t>
      </w:r>
      <w:r>
        <w:rPr>
          <w:rFonts w:hint="eastAsia" w:hAnsi="宋体" w:cs="宋体"/>
          <w:position w:val="-4"/>
          <w:sz w:val="21"/>
          <w:szCs w:val="21"/>
        </w:rPr>
        <w:t>方</w:t>
      </w:r>
      <w:r>
        <w:rPr>
          <w:rFonts w:hint="eastAsia" w:hAnsi="宋体" w:cs="宋体"/>
          <w:spacing w:val="-3"/>
          <w:position w:val="-4"/>
          <w:sz w:val="21"/>
          <w:szCs w:val="21"/>
        </w:rPr>
        <w:t>：</w:t>
      </w:r>
      <w:r>
        <w:rPr>
          <w:rFonts w:hint="eastAsia" w:hAnsi="宋体" w:cs="宋体"/>
          <w:spacing w:val="-3"/>
          <w:position w:val="-4"/>
          <w:sz w:val="21"/>
          <w:szCs w:val="21"/>
          <w:u w:val="single"/>
        </w:rPr>
        <w:t>（</w:t>
      </w:r>
      <w:r>
        <w:rPr>
          <w:rFonts w:hint="eastAsia" w:hAnsi="宋体" w:cs="宋体"/>
          <w:position w:val="-4"/>
          <w:sz w:val="21"/>
          <w:szCs w:val="21"/>
          <w:u w:val="single"/>
        </w:rPr>
        <w:t>单</w:t>
      </w:r>
      <w:r>
        <w:rPr>
          <w:rFonts w:hint="eastAsia" w:hAnsi="宋体" w:cs="宋体"/>
          <w:spacing w:val="-5"/>
          <w:position w:val="-4"/>
          <w:sz w:val="21"/>
          <w:szCs w:val="21"/>
          <w:u w:val="single"/>
        </w:rPr>
        <w:t>位</w:t>
      </w:r>
      <w:r>
        <w:rPr>
          <w:rFonts w:hint="eastAsia" w:hAnsi="宋体" w:cs="宋体"/>
          <w:position w:val="-4"/>
          <w:sz w:val="21"/>
          <w:szCs w:val="21"/>
          <w:u w:val="single"/>
        </w:rPr>
        <w:t>全</w:t>
      </w:r>
      <w:r>
        <w:rPr>
          <w:rFonts w:hint="eastAsia" w:hAnsi="宋体" w:cs="宋体"/>
          <w:spacing w:val="-5"/>
          <w:position w:val="-4"/>
          <w:sz w:val="21"/>
          <w:szCs w:val="21"/>
          <w:u w:val="single"/>
        </w:rPr>
        <w:t>称</w:t>
      </w:r>
      <w:r>
        <w:rPr>
          <w:rFonts w:hint="eastAsia" w:hAnsi="宋体" w:cs="宋体"/>
          <w:position w:val="-4"/>
          <w:sz w:val="21"/>
          <w:szCs w:val="21"/>
          <w:u w:val="single"/>
        </w:rPr>
        <w:t>）</w:t>
      </w:r>
      <w:r>
        <w:rPr>
          <w:rFonts w:hint="eastAsia" w:hAnsi="宋体" w:cs="宋体"/>
          <w:position w:val="-4"/>
          <w:sz w:val="21"/>
          <w:szCs w:val="21"/>
          <w:u w:val="single"/>
        </w:rPr>
        <w:tab/>
      </w:r>
      <w:r>
        <w:rPr>
          <w:rFonts w:hint="eastAsia" w:hAnsi="宋体" w:cs="宋体"/>
          <w:position w:val="-4"/>
          <w:sz w:val="21"/>
          <w:szCs w:val="21"/>
        </w:rPr>
        <w:t>（</w:t>
      </w:r>
      <w:r>
        <w:rPr>
          <w:rFonts w:hint="eastAsia" w:hAnsi="宋体" w:cs="宋体"/>
          <w:spacing w:val="-5"/>
          <w:position w:val="-4"/>
          <w:sz w:val="21"/>
          <w:szCs w:val="21"/>
        </w:rPr>
        <w:t>盖</w:t>
      </w:r>
      <w:r>
        <w:rPr>
          <w:rFonts w:hint="eastAsia" w:hAnsi="宋体" w:cs="宋体"/>
          <w:position w:val="-4"/>
          <w:sz w:val="21"/>
          <w:szCs w:val="21"/>
        </w:rPr>
        <w:t>单</w:t>
      </w:r>
      <w:r>
        <w:rPr>
          <w:rFonts w:hint="eastAsia" w:hAnsi="宋体" w:cs="宋体"/>
          <w:spacing w:val="-5"/>
          <w:position w:val="-4"/>
          <w:sz w:val="21"/>
          <w:szCs w:val="21"/>
        </w:rPr>
        <w:t>位</w:t>
      </w:r>
      <w:r>
        <w:rPr>
          <w:rFonts w:hint="eastAsia" w:hAnsi="宋体" w:cs="宋体"/>
          <w:position w:val="-4"/>
          <w:sz w:val="21"/>
          <w:szCs w:val="21"/>
        </w:rPr>
        <w:t>章）</w:t>
      </w:r>
    </w:p>
    <w:p>
      <w:pPr>
        <w:spacing w:line="360" w:lineRule="auto"/>
        <w:ind w:firstLine="420" w:firstLineChars="200"/>
        <w:rPr>
          <w:rFonts w:hAnsi="宋体" w:cs="宋体"/>
          <w:sz w:val="21"/>
          <w:szCs w:val="21"/>
        </w:rPr>
      </w:pPr>
    </w:p>
    <w:p>
      <w:pPr>
        <w:spacing w:line="360" w:lineRule="auto"/>
        <w:ind w:firstLine="420" w:firstLineChars="200"/>
        <w:rPr>
          <w:rFonts w:hAnsi="宋体" w:cs="宋体"/>
          <w:spacing w:val="-18"/>
          <w:sz w:val="21"/>
          <w:szCs w:val="21"/>
        </w:rPr>
      </w:pPr>
      <w:r>
        <w:rPr>
          <w:rFonts w:hint="eastAsia" w:hAnsi="宋体" w:cs="宋体"/>
          <w:sz w:val="21"/>
          <w:szCs w:val="21"/>
        </w:rPr>
        <w:t>日期：</w:t>
      </w:r>
      <w:r>
        <w:rPr>
          <w:rFonts w:hint="eastAsia" w:hAnsi="宋体" w:cs="宋体"/>
          <w:sz w:val="21"/>
          <w:szCs w:val="21"/>
        </w:rPr>
        <w:tab/>
      </w:r>
      <w:r>
        <w:rPr>
          <w:rFonts w:hint="eastAsia" w:hAnsi="宋体" w:cs="宋体"/>
          <w:sz w:val="21"/>
          <w:szCs w:val="21"/>
        </w:rPr>
        <w:t>年</w:t>
      </w:r>
      <w:r>
        <w:rPr>
          <w:rFonts w:hint="eastAsia" w:hAnsi="宋体" w:cs="宋体"/>
          <w:sz w:val="21"/>
          <w:szCs w:val="21"/>
        </w:rPr>
        <w:tab/>
      </w:r>
      <w:r>
        <w:rPr>
          <w:rFonts w:hint="eastAsia" w:hAnsi="宋体" w:cs="宋体"/>
          <w:sz w:val="21"/>
          <w:szCs w:val="21"/>
        </w:rPr>
        <w:t>月</w:t>
      </w:r>
      <w:r>
        <w:rPr>
          <w:rFonts w:hint="eastAsia" w:hAnsi="宋体" w:cs="宋体"/>
          <w:spacing w:val="1"/>
          <w:sz w:val="21"/>
          <w:szCs w:val="21"/>
        </w:rPr>
        <w:t xml:space="preserve"> </w:t>
      </w:r>
      <w:r>
        <w:rPr>
          <w:rFonts w:hint="eastAsia" w:hAnsi="宋体" w:cs="宋体"/>
          <w:sz w:val="21"/>
          <w:szCs w:val="21"/>
        </w:rPr>
        <w:t>日</w:t>
      </w:r>
      <w:r>
        <w:rPr>
          <w:rFonts w:hAnsi="宋体" w:cs="宋体"/>
          <w:spacing w:val="-18"/>
          <w:sz w:val="21"/>
          <w:szCs w:val="21"/>
        </w:rPr>
        <w:br w:type="page"/>
      </w:r>
    </w:p>
    <w:p>
      <w:pPr>
        <w:pStyle w:val="2"/>
      </w:pPr>
    </w:p>
    <w:p>
      <w:pPr>
        <w:spacing w:before="52"/>
        <w:rPr>
          <w:rFonts w:hAnsi="宋体" w:cs="宋体"/>
          <w:b/>
          <w:sz w:val="21"/>
          <w:szCs w:val="21"/>
        </w:rPr>
      </w:pPr>
      <w:r>
        <w:rPr>
          <w:rFonts w:hint="eastAsia" w:hAnsi="宋体" w:cs="宋体"/>
          <w:b/>
          <w:sz w:val="21"/>
          <w:szCs w:val="21"/>
        </w:rPr>
        <w:t>附件 1</w:t>
      </w:r>
    </w:p>
    <w:p>
      <w:pPr>
        <w:pStyle w:val="5"/>
        <w:jc w:val="center"/>
        <w:rPr>
          <w:rFonts w:hAnsi="宋体" w:cs="宋体"/>
          <w:sz w:val="21"/>
          <w:szCs w:val="21"/>
        </w:rPr>
      </w:pPr>
      <w:r>
        <w:rPr>
          <w:rFonts w:hint="eastAsia" w:hAnsi="宋体" w:cs="宋体"/>
          <w:sz w:val="21"/>
          <w:szCs w:val="21"/>
        </w:rPr>
        <w:t>审计工作质量及保密承诺书</w:t>
      </w:r>
    </w:p>
    <w:p>
      <w:pPr>
        <w:spacing w:before="12" w:line="360" w:lineRule="auto"/>
        <w:rPr>
          <w:rFonts w:hAnsi="宋体" w:cs="宋体"/>
          <w:b/>
          <w:sz w:val="17"/>
          <w:szCs w:val="21"/>
        </w:rPr>
      </w:pPr>
    </w:p>
    <w:p>
      <w:pPr>
        <w:tabs>
          <w:tab w:val="left" w:pos="2745"/>
        </w:tabs>
        <w:spacing w:line="360" w:lineRule="auto"/>
        <w:ind w:right="91" w:firstLine="420"/>
        <w:rPr>
          <w:rFonts w:hAnsi="宋体" w:cs="宋体"/>
          <w:sz w:val="21"/>
          <w:szCs w:val="21"/>
        </w:rPr>
      </w:pPr>
      <w:r>
        <w:rPr>
          <w:rFonts w:hint="eastAsia" w:hAnsi="宋体" w:cs="宋体"/>
          <w:sz w:val="21"/>
          <w:szCs w:val="21"/>
        </w:rPr>
        <w:t>我公司参与</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项目竣工结算的审计工作</w:t>
      </w:r>
      <w:r>
        <w:rPr>
          <w:rFonts w:hint="eastAsia" w:hAnsi="宋体" w:cs="宋体"/>
          <w:spacing w:val="-82"/>
          <w:sz w:val="21"/>
          <w:szCs w:val="21"/>
        </w:rPr>
        <w:t>，</w:t>
      </w:r>
      <w:r>
        <w:rPr>
          <w:rFonts w:hint="eastAsia" w:hAnsi="宋体" w:cs="宋体"/>
          <w:sz w:val="21"/>
          <w:szCs w:val="21"/>
        </w:rPr>
        <w:t>根据四川蜀道物流集团有限公司、渠县蜀物致远物流发展有限公司对竣工决算审计的目标任务、时间安排、审计内容和重点环节等要求，确保审计工作质量，严格遵守保密规定，并作出如下承诺：</w:t>
      </w:r>
    </w:p>
    <w:p>
      <w:pPr>
        <w:tabs>
          <w:tab w:val="left" w:pos="2745"/>
        </w:tabs>
        <w:spacing w:line="360" w:lineRule="auto"/>
        <w:ind w:right="91" w:firstLine="420"/>
        <w:rPr>
          <w:rFonts w:hAnsi="宋体" w:cs="宋体"/>
          <w:sz w:val="21"/>
          <w:szCs w:val="21"/>
        </w:rPr>
      </w:pPr>
      <w:r>
        <w:rPr>
          <w:rFonts w:hint="eastAsia" w:hAnsi="宋体" w:cs="宋体"/>
          <w:sz w:val="21"/>
          <w:szCs w:val="21"/>
        </w:rPr>
        <w:t>1.严格按照竣工决算审计目标任务、审计内容和重点环节等要求完成工程结算审计工作。</w:t>
      </w:r>
    </w:p>
    <w:p>
      <w:pPr>
        <w:tabs>
          <w:tab w:val="left" w:pos="2745"/>
        </w:tabs>
        <w:spacing w:line="360" w:lineRule="auto"/>
        <w:ind w:right="91" w:firstLine="420"/>
        <w:rPr>
          <w:rFonts w:hAnsi="宋体" w:cs="宋体"/>
          <w:sz w:val="21"/>
          <w:szCs w:val="21"/>
        </w:rPr>
      </w:pPr>
      <w:r>
        <w:rPr>
          <w:rFonts w:hint="eastAsia" w:hAnsi="宋体" w:cs="宋体"/>
          <w:sz w:val="21"/>
          <w:szCs w:val="21"/>
        </w:rPr>
        <w:t>2.严格按照审计工作方案实施审计，保证按时、保质完成任务，如有违反按合同约定延迟出具审计报告条款处罚。特殊情况需要延伸等增加工作量确需延期的，应先报经批准，否则可视为不需延期。</w:t>
      </w:r>
    </w:p>
    <w:p>
      <w:pPr>
        <w:tabs>
          <w:tab w:val="left" w:pos="2745"/>
        </w:tabs>
        <w:spacing w:line="360" w:lineRule="auto"/>
        <w:ind w:right="91" w:firstLine="420"/>
        <w:rPr>
          <w:rFonts w:hAnsi="宋体" w:cs="宋体"/>
          <w:sz w:val="21"/>
          <w:szCs w:val="21"/>
        </w:rPr>
      </w:pPr>
      <w:r>
        <w:rPr>
          <w:rFonts w:hint="eastAsia" w:hAnsi="宋体" w:cs="宋体"/>
          <w:sz w:val="21"/>
          <w:szCs w:val="21"/>
        </w:rPr>
        <w:t>3.按参选时的工作方案选派审计组成员，若个别确需调整人员的，更换人员的资质和能力水平不低于参选时承诺的人员并需经批准。</w:t>
      </w:r>
    </w:p>
    <w:p>
      <w:pPr>
        <w:tabs>
          <w:tab w:val="left" w:pos="2745"/>
        </w:tabs>
        <w:spacing w:line="360" w:lineRule="auto"/>
        <w:ind w:right="91" w:firstLine="420"/>
        <w:rPr>
          <w:rFonts w:hAnsi="宋体" w:cs="宋体"/>
          <w:sz w:val="21"/>
          <w:szCs w:val="21"/>
        </w:rPr>
      </w:pPr>
      <w:r>
        <w:rPr>
          <w:rFonts w:hint="eastAsia" w:hAnsi="宋体" w:cs="宋体"/>
          <w:sz w:val="21"/>
          <w:szCs w:val="21"/>
        </w:rPr>
        <w:t>4在本项目完成之前，所有派至该项目的审计人员仅服务于该项目，不再参与其他项目的工作。</w:t>
      </w:r>
    </w:p>
    <w:p>
      <w:pPr>
        <w:tabs>
          <w:tab w:val="left" w:pos="2745"/>
        </w:tabs>
        <w:spacing w:line="360" w:lineRule="auto"/>
        <w:ind w:right="91" w:firstLine="420"/>
        <w:rPr>
          <w:rFonts w:hAnsi="宋体" w:cs="宋体"/>
          <w:sz w:val="21"/>
          <w:szCs w:val="21"/>
        </w:rPr>
      </w:pPr>
      <w:r>
        <w:rPr>
          <w:rFonts w:hint="eastAsia" w:hAnsi="宋体" w:cs="宋体"/>
          <w:sz w:val="21"/>
          <w:szCs w:val="21"/>
        </w:rPr>
        <w:t>5.严格管理我公司参与审计的人员，遵守相关审计程序、工作纪律等相关规定，并定期汇报工作进展、发现问题等事宜。</w:t>
      </w:r>
    </w:p>
    <w:p>
      <w:pPr>
        <w:tabs>
          <w:tab w:val="left" w:pos="2745"/>
        </w:tabs>
        <w:spacing w:line="360" w:lineRule="auto"/>
        <w:ind w:right="91" w:firstLine="420"/>
        <w:rPr>
          <w:rFonts w:hAnsi="宋体" w:cs="宋体"/>
          <w:sz w:val="21"/>
          <w:szCs w:val="21"/>
        </w:rPr>
      </w:pPr>
      <w:r>
        <w:rPr>
          <w:rFonts w:hint="eastAsia" w:hAnsi="宋体" w:cs="宋体"/>
          <w:sz w:val="21"/>
          <w:szCs w:val="21"/>
        </w:rPr>
        <w:t xml:space="preserve">6.在审计过程中，遇有重大事项，或违纪违法违规问题时，不私自透露给被审计单位或其协商解决，并及时向蜀道集团汇报，自觉接受委托方和审计机关对我公司审计工作的考核、检查。   </w:t>
      </w:r>
    </w:p>
    <w:p>
      <w:pPr>
        <w:tabs>
          <w:tab w:val="left" w:pos="2745"/>
        </w:tabs>
        <w:spacing w:line="360" w:lineRule="auto"/>
        <w:ind w:right="91" w:firstLine="420"/>
        <w:rPr>
          <w:rFonts w:hAnsi="宋体" w:cs="宋体"/>
          <w:sz w:val="21"/>
          <w:szCs w:val="21"/>
        </w:rPr>
      </w:pPr>
      <w:r>
        <w:rPr>
          <w:rFonts w:hint="eastAsia" w:hAnsi="宋体" w:cs="宋体"/>
          <w:sz w:val="21"/>
          <w:szCs w:val="21"/>
        </w:rPr>
        <w:t>7.对出具的审计报告及相关审计文书的合法性、真实性、准确性负责。若审计报告及相关审计文书出现内容不实或虚假等问题，我公司将承担一切责任及后果。</w:t>
      </w:r>
    </w:p>
    <w:p>
      <w:pPr>
        <w:tabs>
          <w:tab w:val="left" w:pos="2745"/>
        </w:tabs>
        <w:spacing w:line="360" w:lineRule="auto"/>
        <w:ind w:right="91" w:firstLine="420"/>
        <w:rPr>
          <w:rFonts w:hAnsi="宋体" w:cs="宋体"/>
          <w:sz w:val="21"/>
          <w:szCs w:val="21"/>
        </w:rPr>
      </w:pPr>
      <w:r>
        <w:rPr>
          <w:rFonts w:hint="eastAsia" w:hAnsi="宋体" w:cs="宋体"/>
          <w:sz w:val="21"/>
          <w:szCs w:val="21"/>
        </w:rPr>
        <w:t>8.严格保守国家秘密和被审计单位的商业秘密，不泄露委托服务项目有关的招标信息、造价信息等，包括但不限于工程量清单、控制预算等可能影响公平竞争或有损害客户利益的内幕信息。</w:t>
      </w:r>
    </w:p>
    <w:p>
      <w:pPr>
        <w:tabs>
          <w:tab w:val="left" w:pos="2745"/>
        </w:tabs>
        <w:spacing w:line="360" w:lineRule="auto"/>
        <w:ind w:right="91" w:firstLine="420"/>
        <w:rPr>
          <w:rFonts w:hAnsi="宋体" w:cs="宋体"/>
          <w:sz w:val="21"/>
          <w:szCs w:val="21"/>
        </w:rPr>
      </w:pPr>
      <w:r>
        <w:rPr>
          <w:rFonts w:hint="eastAsia" w:hAnsi="宋体" w:cs="宋体"/>
          <w:sz w:val="21"/>
          <w:szCs w:val="21"/>
        </w:rPr>
        <w:t>我公司如果违背以上承诺，在任何时期被查证属实，愿意承担一切后果及经济赔偿责任。</w:t>
      </w:r>
    </w:p>
    <w:p>
      <w:pPr>
        <w:tabs>
          <w:tab w:val="left" w:pos="3379"/>
        </w:tabs>
        <w:spacing w:line="360" w:lineRule="auto"/>
        <w:ind w:right="904"/>
        <w:rPr>
          <w:rFonts w:hAnsi="宋体" w:cs="宋体"/>
          <w:sz w:val="21"/>
          <w:szCs w:val="21"/>
        </w:rPr>
      </w:pPr>
      <w:r>
        <w:rPr>
          <w:rFonts w:hint="eastAsia" w:hAnsi="宋体" w:cs="宋体"/>
          <w:sz w:val="21"/>
          <w:szCs w:val="21"/>
        </w:rPr>
        <w:t>审计单位：</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pacing w:val="-5"/>
          <w:sz w:val="21"/>
          <w:szCs w:val="21"/>
        </w:rPr>
        <w:t>（</w:t>
      </w:r>
      <w:r>
        <w:rPr>
          <w:rFonts w:hint="eastAsia" w:hAnsi="宋体" w:cs="宋体"/>
          <w:sz w:val="21"/>
          <w:szCs w:val="21"/>
        </w:rPr>
        <w:t>盖</w:t>
      </w:r>
      <w:r>
        <w:rPr>
          <w:rFonts w:hint="eastAsia" w:hAnsi="宋体" w:cs="宋体"/>
          <w:spacing w:val="-5"/>
          <w:sz w:val="21"/>
          <w:szCs w:val="21"/>
        </w:rPr>
        <w:t>单</w:t>
      </w:r>
      <w:r>
        <w:rPr>
          <w:rFonts w:hint="eastAsia" w:hAnsi="宋体" w:cs="宋体"/>
          <w:sz w:val="21"/>
          <w:szCs w:val="21"/>
        </w:rPr>
        <w:t>位</w:t>
      </w:r>
      <w:r>
        <w:rPr>
          <w:rFonts w:hint="eastAsia" w:hAnsi="宋体" w:cs="宋体"/>
          <w:spacing w:val="-5"/>
          <w:sz w:val="21"/>
          <w:szCs w:val="21"/>
        </w:rPr>
        <w:t>章</w:t>
      </w:r>
      <w:r>
        <w:rPr>
          <w:rFonts w:hint="eastAsia" w:hAnsi="宋体" w:cs="宋体"/>
          <w:sz w:val="21"/>
          <w:szCs w:val="21"/>
        </w:rPr>
        <w:t>）</w:t>
      </w:r>
    </w:p>
    <w:p>
      <w:pPr>
        <w:tabs>
          <w:tab w:val="left" w:pos="5950"/>
        </w:tabs>
        <w:spacing w:before="69" w:line="360" w:lineRule="auto"/>
        <w:rPr>
          <w:rFonts w:hAnsi="宋体" w:cs="宋体"/>
          <w:sz w:val="21"/>
          <w:szCs w:val="21"/>
        </w:rPr>
      </w:pPr>
      <w:r>
        <w:rPr>
          <w:rFonts w:hint="eastAsia" w:hAnsi="宋体" w:cs="宋体"/>
          <w:sz w:val="21"/>
          <w:szCs w:val="21"/>
        </w:rPr>
        <w:t xml:space="preserve">法定代表人/负责人或委托代理人（签字）： </w:t>
      </w:r>
      <w:r>
        <w:rPr>
          <w:rFonts w:hint="eastAsia" w:hAnsi="宋体" w:cs="宋体"/>
          <w:sz w:val="21"/>
          <w:szCs w:val="21"/>
          <w:u w:val="single"/>
        </w:rPr>
        <w:tab/>
      </w:r>
    </w:p>
    <w:p>
      <w:pPr>
        <w:tabs>
          <w:tab w:val="left" w:pos="3379"/>
        </w:tabs>
        <w:spacing w:line="360" w:lineRule="auto"/>
        <w:ind w:right="904"/>
        <w:rPr>
          <w:rFonts w:hAnsi="宋体" w:cs="宋体"/>
          <w:sz w:val="21"/>
          <w:szCs w:val="21"/>
        </w:rPr>
      </w:pPr>
      <w:r>
        <w:rPr>
          <w:rFonts w:hint="eastAsia" w:hAnsi="宋体" w:cs="宋体"/>
          <w:sz w:val="21"/>
          <w:szCs w:val="21"/>
        </w:rPr>
        <w:t>日期：年月日</w:t>
      </w:r>
    </w:p>
    <w:p>
      <w:pPr>
        <w:rPr>
          <w:rFonts w:hAnsi="宋体" w:cs="宋体"/>
        </w:rPr>
        <w:sectPr>
          <w:footerReference r:id="rId5" w:type="default"/>
          <w:pgSz w:w="11910" w:h="16840"/>
          <w:pgMar w:top="1440" w:right="1800" w:bottom="1440" w:left="1800" w:header="0" w:footer="1200" w:gutter="0"/>
          <w:cols w:space="720" w:num="1"/>
          <w:docGrid w:linePitch="299" w:charSpace="0"/>
        </w:sectPr>
      </w:pPr>
    </w:p>
    <w:p>
      <w:pPr>
        <w:spacing w:before="52"/>
        <w:ind w:left="331"/>
        <w:rPr>
          <w:rFonts w:hAnsi="宋体" w:cs="宋体"/>
          <w:sz w:val="21"/>
          <w:szCs w:val="21"/>
        </w:rPr>
      </w:pPr>
      <w:r>
        <w:rPr>
          <w:rFonts w:hint="eastAsia" w:hAnsi="宋体" w:cs="宋体"/>
          <w:sz w:val="21"/>
          <w:szCs w:val="21"/>
        </w:rPr>
        <w:t>附件 2</w:t>
      </w:r>
    </w:p>
    <w:p>
      <w:pPr>
        <w:spacing w:before="9"/>
        <w:rPr>
          <w:rFonts w:hAnsi="宋体" w:cs="宋体"/>
          <w:sz w:val="12"/>
          <w:szCs w:val="21"/>
        </w:rPr>
      </w:pPr>
    </w:p>
    <w:p>
      <w:pPr>
        <w:pStyle w:val="5"/>
        <w:jc w:val="center"/>
        <w:rPr>
          <w:rFonts w:hAnsi="宋体" w:cs="宋体"/>
          <w:sz w:val="21"/>
          <w:szCs w:val="21"/>
        </w:rPr>
      </w:pPr>
      <w:r>
        <w:rPr>
          <w:rFonts w:hint="eastAsia" w:hAnsi="宋体" w:cs="宋体"/>
          <w:sz w:val="21"/>
          <w:szCs w:val="21"/>
        </w:rPr>
        <w:t>审计廉洁承诺书</w:t>
      </w:r>
    </w:p>
    <w:p>
      <w:pPr>
        <w:spacing w:line="360" w:lineRule="auto"/>
        <w:ind w:right="85" w:firstLine="420"/>
        <w:rPr>
          <w:rFonts w:hAnsi="宋体" w:cs="宋体"/>
          <w:sz w:val="21"/>
          <w:szCs w:val="21"/>
        </w:rPr>
      </w:pPr>
      <w:r>
        <w:rPr>
          <w:rFonts w:hint="eastAsia" w:hAnsi="宋体" w:cs="宋体"/>
          <w:sz w:val="21"/>
          <w:szCs w:val="21"/>
        </w:rPr>
        <w:t>我公司参与</w:t>
      </w:r>
      <w:r>
        <w:rPr>
          <w:rFonts w:hint="eastAsia" w:hAnsi="宋体" w:cs="宋体"/>
          <w:sz w:val="21"/>
          <w:szCs w:val="21"/>
          <w:u w:val="single"/>
        </w:rPr>
        <w:tab/>
      </w:r>
      <w:r>
        <w:rPr>
          <w:rFonts w:hint="eastAsia" w:hAnsi="宋体" w:cs="宋体"/>
          <w:sz w:val="21"/>
          <w:szCs w:val="21"/>
          <w:u w:val="single"/>
        </w:rPr>
        <w:t xml:space="preserve">    </w:t>
      </w:r>
      <w:r>
        <w:rPr>
          <w:rFonts w:hint="eastAsia" w:hAnsi="宋体" w:cs="宋体"/>
          <w:sz w:val="21"/>
          <w:szCs w:val="21"/>
        </w:rPr>
        <w:t>项目竣工结算的审计工作，我公司成立了项目审计组，为了认真履行审计职责，保证审计质量，防范审计风险，严格审计纪律，审计组全体人员承诺如下：</w:t>
      </w:r>
    </w:p>
    <w:p>
      <w:pPr>
        <w:spacing w:line="360" w:lineRule="auto"/>
        <w:ind w:right="85" w:firstLine="420"/>
        <w:rPr>
          <w:rFonts w:hAnsi="宋体" w:cs="宋体"/>
          <w:sz w:val="21"/>
          <w:szCs w:val="21"/>
        </w:rPr>
      </w:pPr>
      <w:r>
        <w:rPr>
          <w:rFonts w:hint="eastAsia" w:hAnsi="宋体" w:cs="宋体"/>
          <w:sz w:val="21"/>
          <w:szCs w:val="21"/>
        </w:rPr>
        <w:t>1.严格遵守国家法律、法规、规章，认真执行审计人员相关纪律规定和审计职业道德规范、廉洁纪律和回避制度。</w:t>
      </w:r>
    </w:p>
    <w:p>
      <w:pPr>
        <w:spacing w:line="360" w:lineRule="auto"/>
        <w:ind w:right="85" w:firstLine="420"/>
        <w:rPr>
          <w:rFonts w:hAnsi="宋体" w:cs="宋体"/>
          <w:sz w:val="21"/>
          <w:szCs w:val="21"/>
        </w:rPr>
      </w:pPr>
      <w:r>
        <w:rPr>
          <w:rFonts w:hint="eastAsia" w:hAnsi="宋体" w:cs="宋体"/>
          <w:sz w:val="21"/>
          <w:szCs w:val="21"/>
        </w:rPr>
        <w:t>2.</w:t>
      </w:r>
      <w:r>
        <w:rPr>
          <w:rFonts w:hint="eastAsia" w:hAnsi="宋体" w:cs="宋体"/>
          <w:sz w:val="21"/>
          <w:szCs w:val="21"/>
        </w:rPr>
        <w:tab/>
      </w:r>
      <w:r>
        <w:rPr>
          <w:rFonts w:hint="eastAsia" w:hAnsi="宋体" w:cs="宋体"/>
          <w:sz w:val="21"/>
          <w:szCs w:val="21"/>
        </w:rPr>
        <w:t>坚守客观、公正的执业原则，尽职守责，对收集的审计证据，形成的工作底稿、审计结论、审计报告的真实性、合法性负责。</w:t>
      </w:r>
    </w:p>
    <w:p>
      <w:pPr>
        <w:spacing w:line="360" w:lineRule="auto"/>
        <w:ind w:right="85" w:firstLine="420"/>
        <w:rPr>
          <w:rFonts w:hAnsi="宋体" w:cs="宋体"/>
          <w:sz w:val="21"/>
          <w:szCs w:val="21"/>
        </w:rPr>
      </w:pPr>
      <w:r>
        <w:rPr>
          <w:rFonts w:hint="eastAsia" w:hAnsi="宋体" w:cs="宋体"/>
          <w:sz w:val="21"/>
          <w:szCs w:val="21"/>
        </w:rPr>
        <w:t>3.</w:t>
      </w:r>
      <w:r>
        <w:rPr>
          <w:rFonts w:hint="eastAsia" w:hAnsi="宋体" w:cs="宋体"/>
          <w:sz w:val="21"/>
          <w:szCs w:val="21"/>
        </w:rPr>
        <w:tab/>
      </w:r>
      <w:r>
        <w:rPr>
          <w:rFonts w:hint="eastAsia" w:hAnsi="宋体" w:cs="宋体"/>
          <w:sz w:val="21"/>
          <w:szCs w:val="21"/>
        </w:rPr>
        <w:t>不接受被审计单位和关联方的宴请和娱乐性邀请。</w:t>
      </w:r>
    </w:p>
    <w:p>
      <w:pPr>
        <w:spacing w:line="360" w:lineRule="auto"/>
        <w:ind w:right="85" w:firstLine="420"/>
        <w:rPr>
          <w:rFonts w:hAnsi="宋体" w:cs="宋体"/>
          <w:sz w:val="21"/>
          <w:szCs w:val="21"/>
        </w:rPr>
      </w:pPr>
      <w:r>
        <w:rPr>
          <w:rFonts w:hint="eastAsia" w:hAnsi="宋体" w:cs="宋体"/>
          <w:sz w:val="21"/>
          <w:szCs w:val="21"/>
        </w:rPr>
        <w:t>4.</w:t>
      </w:r>
      <w:r>
        <w:rPr>
          <w:rFonts w:hint="eastAsia" w:hAnsi="宋体" w:cs="宋体"/>
          <w:sz w:val="21"/>
          <w:szCs w:val="21"/>
        </w:rPr>
        <w:tab/>
      </w:r>
      <w:r>
        <w:rPr>
          <w:rFonts w:hint="eastAsia" w:hAnsi="宋体" w:cs="宋体"/>
          <w:sz w:val="21"/>
          <w:szCs w:val="21"/>
        </w:rPr>
        <w:t>不索取、收受合同约定报酬以外的现金、有价证券和其他财物。</w:t>
      </w:r>
    </w:p>
    <w:p>
      <w:pPr>
        <w:spacing w:line="360" w:lineRule="auto"/>
        <w:ind w:right="85" w:firstLine="420"/>
        <w:rPr>
          <w:rFonts w:hAnsi="宋体" w:cs="宋体"/>
          <w:sz w:val="21"/>
          <w:szCs w:val="21"/>
        </w:rPr>
      </w:pPr>
      <w:r>
        <w:rPr>
          <w:rFonts w:hint="eastAsia" w:hAnsi="宋体" w:cs="宋体"/>
          <w:sz w:val="21"/>
          <w:szCs w:val="21"/>
        </w:rPr>
        <w:t>5.</w:t>
      </w:r>
      <w:r>
        <w:rPr>
          <w:rFonts w:hint="eastAsia" w:hAnsi="宋体" w:cs="宋体"/>
          <w:sz w:val="21"/>
          <w:szCs w:val="21"/>
        </w:rPr>
        <w:tab/>
      </w:r>
      <w:r>
        <w:rPr>
          <w:rFonts w:hint="eastAsia" w:hAnsi="宋体" w:cs="宋体"/>
          <w:sz w:val="21"/>
          <w:szCs w:val="21"/>
        </w:rPr>
        <w:t>不利用工作之便谋取不正当的利益，本人及亲属不参与客户工程项目有关的材料和设备供应、工程承包等经济活动。</w:t>
      </w:r>
    </w:p>
    <w:p>
      <w:pPr>
        <w:spacing w:line="360" w:lineRule="auto"/>
        <w:ind w:right="85" w:firstLine="420"/>
        <w:rPr>
          <w:rFonts w:hAnsi="宋体" w:cs="宋体"/>
          <w:sz w:val="21"/>
          <w:szCs w:val="21"/>
        </w:rPr>
      </w:pPr>
      <w:r>
        <w:rPr>
          <w:rFonts w:hint="eastAsia" w:hAnsi="宋体" w:cs="宋体"/>
          <w:sz w:val="21"/>
          <w:szCs w:val="21"/>
        </w:rPr>
        <w:t>6.</w:t>
      </w:r>
      <w:r>
        <w:rPr>
          <w:rFonts w:hint="eastAsia" w:hAnsi="宋体" w:cs="宋体"/>
          <w:sz w:val="21"/>
          <w:szCs w:val="21"/>
        </w:rPr>
        <w:tab/>
      </w:r>
      <w:r>
        <w:rPr>
          <w:rFonts w:hint="eastAsia" w:hAnsi="宋体" w:cs="宋体"/>
          <w:sz w:val="21"/>
          <w:szCs w:val="21"/>
        </w:rPr>
        <w:t>发现虚假材料或事实及时报告、不隐瞒重要事实或者有其他弄虚作假行为。</w:t>
      </w:r>
    </w:p>
    <w:p>
      <w:pPr>
        <w:spacing w:line="360" w:lineRule="auto"/>
        <w:ind w:right="85" w:firstLine="420"/>
        <w:rPr>
          <w:rFonts w:hAnsi="宋体" w:cs="宋体"/>
          <w:sz w:val="21"/>
          <w:szCs w:val="21"/>
        </w:rPr>
      </w:pPr>
      <w:r>
        <w:rPr>
          <w:rFonts w:hint="eastAsia" w:hAnsi="宋体" w:cs="宋体"/>
          <w:sz w:val="21"/>
          <w:szCs w:val="21"/>
        </w:rPr>
        <w:t>7.</w:t>
      </w:r>
      <w:r>
        <w:rPr>
          <w:rFonts w:hint="eastAsia" w:hAnsi="宋体" w:cs="宋体"/>
          <w:sz w:val="21"/>
          <w:szCs w:val="21"/>
        </w:rPr>
        <w:tab/>
      </w:r>
      <w:r>
        <w:rPr>
          <w:rFonts w:hint="eastAsia" w:hAnsi="宋体" w:cs="宋体"/>
          <w:sz w:val="21"/>
          <w:szCs w:val="21"/>
        </w:rPr>
        <w:t>在审计期间，不得在项目工作地参与赌博、旅游等活动。</w:t>
      </w:r>
    </w:p>
    <w:p>
      <w:pPr>
        <w:spacing w:line="360" w:lineRule="auto"/>
        <w:ind w:right="85" w:firstLine="420"/>
        <w:rPr>
          <w:rFonts w:hAnsi="宋体" w:cs="宋体"/>
          <w:sz w:val="21"/>
          <w:szCs w:val="21"/>
        </w:rPr>
      </w:pPr>
      <w:r>
        <w:rPr>
          <w:rFonts w:hint="eastAsia" w:hAnsi="宋体" w:cs="宋体"/>
          <w:sz w:val="21"/>
          <w:szCs w:val="21"/>
        </w:rPr>
        <w:t>我公司或审计组全体人员如果违背以上承诺，在任何时期被查证属实，每出现一次，愿意接受 2 万元违约金处罚，违约金不足以弥补甲方或丙方损失的，我公司及审计组全体人员自愿承担超出部分的经济赔偿责任。</w:t>
      </w:r>
    </w:p>
    <w:p>
      <w:pPr>
        <w:pStyle w:val="2"/>
        <w:rPr>
          <w:rFonts w:ascii="仿宋_GB2312" w:eastAsia="仿宋_GB2312"/>
        </w:rPr>
      </w:pPr>
    </w:p>
    <w:p>
      <w:pPr>
        <w:spacing w:line="360" w:lineRule="auto"/>
        <w:ind w:left="331" w:right="668" w:firstLine="95"/>
        <w:rPr>
          <w:rFonts w:hAnsi="宋体" w:cs="宋体"/>
          <w:sz w:val="21"/>
          <w:szCs w:val="21"/>
        </w:rPr>
      </w:pPr>
      <w:r>
        <w:rPr>
          <w:rFonts w:hint="eastAsia" w:hAnsi="宋体" w:cs="宋体"/>
          <w:sz w:val="21"/>
          <w:szCs w:val="21"/>
        </w:rPr>
        <w:t>审计单位盖章：</w:t>
      </w:r>
    </w:p>
    <w:p>
      <w:pPr>
        <w:spacing w:line="360" w:lineRule="auto"/>
        <w:ind w:left="331" w:right="668" w:firstLine="95"/>
        <w:rPr>
          <w:rFonts w:hAnsi="宋体" w:cs="宋体"/>
          <w:sz w:val="21"/>
          <w:szCs w:val="21"/>
        </w:rPr>
      </w:pPr>
      <w:r>
        <w:rPr>
          <w:rFonts w:hint="eastAsia" w:hAnsi="宋体" w:cs="宋体"/>
          <w:sz w:val="21"/>
          <w:szCs w:val="21"/>
        </w:rPr>
        <w:t>承诺人（项目审计组全体人员签名）：</w:t>
      </w:r>
    </w:p>
    <w:p>
      <w:pPr>
        <w:spacing w:line="360" w:lineRule="auto"/>
        <w:ind w:left="331" w:right="668" w:firstLine="95"/>
        <w:rPr>
          <w:rFonts w:hAnsi="宋体" w:cs="宋体"/>
          <w:sz w:val="21"/>
          <w:szCs w:val="21"/>
        </w:rPr>
        <w:sectPr>
          <w:pgSz w:w="11906" w:h="16838"/>
          <w:pgMar w:top="1440" w:right="1800" w:bottom="1440" w:left="1800" w:header="851" w:footer="992" w:gutter="0"/>
          <w:cols w:space="425" w:num="1"/>
          <w:docGrid w:type="lines" w:linePitch="312" w:charSpace="0"/>
        </w:sectPr>
      </w:pPr>
      <w:r>
        <w:rPr>
          <w:rFonts w:hint="eastAsia" w:hAnsi="宋体" w:cs="宋体"/>
          <w:sz w:val="21"/>
          <w:szCs w:val="21"/>
        </w:rPr>
        <w:t xml:space="preserve">签订时间： </w:t>
      </w:r>
      <w:r>
        <w:rPr>
          <w:rFonts w:hint="eastAsia" w:hAnsi="宋体" w:cs="宋体"/>
          <w:sz w:val="21"/>
          <w:szCs w:val="21"/>
        </w:rPr>
        <w:tab/>
      </w:r>
      <w:r>
        <w:rPr>
          <w:rFonts w:hint="eastAsia" w:hAnsi="宋体" w:cs="宋体"/>
          <w:sz w:val="21"/>
          <w:szCs w:val="21"/>
        </w:rPr>
        <w:t xml:space="preserve">年 </w:t>
      </w:r>
      <w:r>
        <w:rPr>
          <w:rFonts w:hint="eastAsia" w:hAnsi="宋体" w:cs="宋体"/>
          <w:sz w:val="21"/>
          <w:szCs w:val="21"/>
        </w:rPr>
        <w:tab/>
      </w:r>
      <w:r>
        <w:rPr>
          <w:rFonts w:hint="eastAsia" w:hAnsi="宋体" w:cs="宋体"/>
          <w:sz w:val="21"/>
          <w:szCs w:val="21"/>
        </w:rPr>
        <w:t xml:space="preserve">月 </w:t>
      </w:r>
      <w:r>
        <w:rPr>
          <w:rFonts w:hint="eastAsia" w:hAnsi="宋体" w:cs="宋体"/>
          <w:sz w:val="21"/>
          <w:szCs w:val="21"/>
        </w:rPr>
        <w:tab/>
      </w:r>
      <w:r>
        <w:rPr>
          <w:rFonts w:hint="eastAsia" w:hAnsi="宋体" w:cs="宋体"/>
          <w:sz w:val="21"/>
          <w:szCs w:val="21"/>
        </w:rPr>
        <w:t>日</w:t>
      </w:r>
    </w:p>
    <w:p>
      <w:pPr>
        <w:pStyle w:val="4"/>
        <w:rPr>
          <w:rFonts w:ascii="仿宋_GB2312"/>
        </w:rPr>
      </w:pPr>
      <w:r>
        <w:rPr>
          <w:rFonts w:hint="eastAsia" w:ascii="仿宋_GB2312"/>
        </w:rPr>
        <w:t>标段2：财务决</w:t>
      </w:r>
      <w:r>
        <w:rPr>
          <w:rFonts w:hint="eastAsia" w:ascii="仿宋_GB2312" w:hAnsi="Times New Roman" w:cs="Times New Roman"/>
          <w:kern w:val="2"/>
          <w:sz w:val="28"/>
          <w:szCs w:val="28"/>
          <w:lang w:val="en-US" w:bidi="ar-SA"/>
        </w:rPr>
        <w:t>算审计合同</w:t>
      </w:r>
    </w:p>
    <w:p>
      <w:pPr>
        <w:ind w:firstLine="424" w:firstLineChars="192"/>
        <w:jc w:val="center"/>
        <w:rPr>
          <w:b/>
        </w:rPr>
      </w:pPr>
      <w:r>
        <w:rPr>
          <w:rFonts w:hint="eastAsia"/>
          <w:b/>
        </w:rPr>
        <w:t>竣工财务决算审计合同</w:t>
      </w:r>
    </w:p>
    <w:p>
      <w:pPr>
        <w:spacing w:line="360" w:lineRule="auto"/>
        <w:ind w:firstLine="231" w:firstLineChars="192"/>
        <w:rPr>
          <w:rFonts w:hAnsi="宋体" w:cs="宋体"/>
          <w:b/>
          <w:sz w:val="12"/>
          <w:szCs w:val="21"/>
        </w:rPr>
      </w:pPr>
    </w:p>
    <w:p>
      <w:pPr>
        <w:spacing w:line="360" w:lineRule="auto"/>
        <w:ind w:firstLine="424" w:firstLineChars="202"/>
        <w:rPr>
          <w:rFonts w:hAnsi="宋体" w:cs="宋体"/>
          <w:sz w:val="21"/>
          <w:szCs w:val="21"/>
        </w:rPr>
      </w:pPr>
      <w:r>
        <w:rPr>
          <w:rFonts w:hint="eastAsia" w:hAnsi="宋体" w:cs="宋体"/>
          <w:sz w:val="21"/>
          <w:szCs w:val="21"/>
        </w:rPr>
        <w:t>甲方</w:t>
      </w:r>
      <w:r>
        <w:rPr>
          <w:rFonts w:hint="eastAsia" w:hAnsi="宋体" w:cs="宋体"/>
          <w:sz w:val="21"/>
          <w:szCs w:val="21"/>
          <w:lang w:val="en-US"/>
        </w:rPr>
        <w:t>1</w:t>
      </w:r>
      <w:r>
        <w:rPr>
          <w:rFonts w:hint="eastAsia" w:hAnsi="宋体" w:cs="宋体"/>
          <w:sz w:val="21"/>
          <w:szCs w:val="21"/>
        </w:rPr>
        <w:t>(</w:t>
      </w:r>
      <w:r>
        <w:rPr>
          <w:rFonts w:hint="eastAsia" w:hAnsi="宋体" w:cs="宋体"/>
          <w:sz w:val="21"/>
          <w:szCs w:val="21"/>
          <w:lang w:val="en-US"/>
        </w:rPr>
        <w:t>委托单位</w:t>
      </w:r>
      <w:r>
        <w:rPr>
          <w:rFonts w:hint="eastAsia" w:hAnsi="宋体" w:cs="宋体"/>
          <w:sz w:val="21"/>
          <w:szCs w:val="21"/>
        </w:rPr>
        <w:t>)：</w:t>
      </w:r>
    </w:p>
    <w:p>
      <w:pPr>
        <w:spacing w:line="360" w:lineRule="auto"/>
        <w:ind w:right="84" w:firstLine="424" w:firstLineChars="202"/>
        <w:rPr>
          <w:rFonts w:hAnsi="宋体" w:cs="宋体"/>
          <w:sz w:val="21"/>
          <w:szCs w:val="21"/>
        </w:rPr>
      </w:pPr>
      <w:r>
        <w:rPr>
          <w:rFonts w:hint="eastAsia" w:hAnsi="宋体" w:cs="宋体"/>
          <w:sz w:val="21"/>
          <w:szCs w:val="21"/>
          <w:lang w:val="en-US"/>
        </w:rPr>
        <w:t>甲</w:t>
      </w:r>
      <w:r>
        <w:rPr>
          <w:rFonts w:hint="eastAsia" w:hAnsi="宋体" w:cs="宋体"/>
          <w:sz w:val="21"/>
          <w:szCs w:val="21"/>
        </w:rPr>
        <w:t>方</w:t>
      </w:r>
      <w:r>
        <w:rPr>
          <w:rFonts w:hint="eastAsia" w:hAnsi="宋体" w:cs="宋体"/>
          <w:sz w:val="21"/>
          <w:szCs w:val="21"/>
          <w:lang w:val="en-US"/>
        </w:rPr>
        <w:t>2</w:t>
      </w:r>
      <w:r>
        <w:rPr>
          <w:rFonts w:hint="eastAsia" w:hAnsi="宋体" w:cs="宋体"/>
          <w:sz w:val="21"/>
          <w:szCs w:val="21"/>
        </w:rPr>
        <w:t>（</w:t>
      </w:r>
      <w:r>
        <w:rPr>
          <w:rFonts w:hint="eastAsia" w:hAnsi="宋体" w:cs="宋体"/>
          <w:sz w:val="21"/>
          <w:szCs w:val="21"/>
          <w:lang w:val="en-US"/>
        </w:rPr>
        <w:t>委托</w:t>
      </w:r>
      <w:r>
        <w:rPr>
          <w:rFonts w:hint="eastAsia" w:hAnsi="宋体" w:cs="宋体"/>
          <w:sz w:val="21"/>
          <w:szCs w:val="21"/>
        </w:rPr>
        <w:t xml:space="preserve">单位）： </w:t>
      </w:r>
    </w:p>
    <w:p>
      <w:pPr>
        <w:spacing w:line="360" w:lineRule="auto"/>
        <w:ind w:right="69" w:firstLine="424" w:firstLineChars="202"/>
        <w:rPr>
          <w:rFonts w:hAnsi="宋体" w:cs="宋体"/>
          <w:sz w:val="21"/>
          <w:szCs w:val="21"/>
          <w:lang w:val="en-US"/>
        </w:rPr>
      </w:pPr>
      <w:r>
        <w:rPr>
          <w:rFonts w:hAnsi="宋体" w:cs="宋体"/>
          <w:sz w:val="21"/>
          <w:szCs w:val="21"/>
          <w:lang w:val="en-US"/>
        </w:rPr>
        <w:t>（在无说明时，“甲方1”、“甲方2”合称“甲方”）</w:t>
      </w:r>
    </w:p>
    <w:p>
      <w:pPr>
        <w:spacing w:line="360" w:lineRule="auto"/>
        <w:ind w:right="69" w:firstLine="424" w:firstLineChars="202"/>
        <w:rPr>
          <w:rFonts w:hAnsi="宋体" w:cs="宋体"/>
          <w:sz w:val="21"/>
          <w:szCs w:val="21"/>
        </w:rPr>
      </w:pPr>
      <w:r>
        <w:rPr>
          <w:rFonts w:hint="eastAsia" w:hAnsi="宋体" w:cs="宋体"/>
          <w:sz w:val="21"/>
          <w:szCs w:val="21"/>
          <w:lang w:val="en-US"/>
        </w:rPr>
        <w:t>乙</w:t>
      </w:r>
      <w:r>
        <w:rPr>
          <w:rFonts w:hint="eastAsia" w:hAnsi="宋体" w:cs="宋体"/>
          <w:sz w:val="21"/>
          <w:szCs w:val="21"/>
        </w:rPr>
        <w:t>方（</w:t>
      </w:r>
      <w:r>
        <w:rPr>
          <w:rFonts w:hint="eastAsia" w:hAnsi="宋体" w:cs="宋体"/>
          <w:sz w:val="21"/>
          <w:szCs w:val="21"/>
          <w:lang w:val="en-US"/>
        </w:rPr>
        <w:t>受托人</w:t>
      </w:r>
      <w:r>
        <w:rPr>
          <w:rFonts w:hint="eastAsia" w:hAnsi="宋体" w:cs="宋体"/>
          <w:spacing w:val="-8"/>
          <w:sz w:val="21"/>
          <w:szCs w:val="21"/>
        </w:rPr>
        <w:t>）：</w:t>
      </w:r>
    </w:p>
    <w:p>
      <w:pPr>
        <w:tabs>
          <w:tab w:val="left" w:pos="5080"/>
        </w:tabs>
        <w:spacing w:line="360" w:lineRule="auto"/>
        <w:ind w:right="84" w:firstLine="424" w:firstLineChars="202"/>
        <w:rPr>
          <w:rFonts w:hAnsi="宋体" w:cs="宋体"/>
          <w:sz w:val="21"/>
          <w:szCs w:val="21"/>
        </w:rPr>
      </w:pPr>
      <w:r>
        <w:rPr>
          <w:rFonts w:hint="eastAsia" w:hAnsi="宋体" w:cs="宋体"/>
          <w:sz w:val="21"/>
          <w:szCs w:val="21"/>
        </w:rPr>
        <w:t>依据《中华人民共和国民法典》、《中华人民共和国建筑法》、《中华人民共和国审计法》及其它有关法律</w:t>
      </w:r>
      <w:r>
        <w:rPr>
          <w:rFonts w:hint="eastAsia" w:hAnsi="宋体" w:cs="宋体"/>
          <w:spacing w:val="-46"/>
          <w:sz w:val="21"/>
          <w:szCs w:val="21"/>
        </w:rPr>
        <w:t>、</w:t>
      </w:r>
      <w:r>
        <w:rPr>
          <w:rFonts w:hint="eastAsia" w:hAnsi="宋体" w:cs="宋体"/>
          <w:sz w:val="21"/>
          <w:szCs w:val="21"/>
        </w:rPr>
        <w:t>行政法规</w:t>
      </w:r>
      <w:r>
        <w:rPr>
          <w:rFonts w:hint="eastAsia" w:hAnsi="宋体" w:cs="宋体"/>
          <w:spacing w:val="-44"/>
          <w:sz w:val="21"/>
          <w:szCs w:val="21"/>
        </w:rPr>
        <w:t>，</w:t>
      </w:r>
      <w:r>
        <w:rPr>
          <w:rFonts w:hint="eastAsia" w:hAnsi="宋体" w:cs="宋体"/>
          <w:sz w:val="21"/>
          <w:szCs w:val="21"/>
        </w:rPr>
        <w:t>甲</w:t>
      </w:r>
      <w:r>
        <w:rPr>
          <w:rFonts w:hint="eastAsia" w:hAnsi="宋体" w:cs="宋体"/>
          <w:spacing w:val="-46"/>
          <w:sz w:val="21"/>
          <w:szCs w:val="21"/>
        </w:rPr>
        <w:t>、</w:t>
      </w:r>
      <w:r>
        <w:rPr>
          <w:rFonts w:hint="eastAsia" w:hAnsi="宋体" w:cs="宋体"/>
          <w:sz w:val="21"/>
          <w:szCs w:val="21"/>
        </w:rPr>
        <w:t>乙</w:t>
      </w:r>
      <w:r>
        <w:rPr>
          <w:rFonts w:hint="eastAsia" w:hAnsi="宋体" w:cs="宋体"/>
          <w:spacing w:val="-46"/>
          <w:sz w:val="21"/>
          <w:szCs w:val="21"/>
        </w:rPr>
        <w:t>、</w:t>
      </w:r>
      <w:r>
        <w:rPr>
          <w:rFonts w:hint="eastAsia" w:hAnsi="宋体" w:cs="宋体"/>
          <w:sz w:val="21"/>
          <w:szCs w:val="21"/>
        </w:rPr>
        <w:t>丙就</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竣工财务决算审计进行审计事宜订立本合同。</w:t>
      </w:r>
    </w:p>
    <w:p>
      <w:pPr>
        <w:pStyle w:val="5"/>
        <w:ind w:firstLine="418" w:firstLineChars="202"/>
        <w:rPr>
          <w:rFonts w:hAnsi="宋体" w:cs="宋体"/>
          <w:b w:val="0"/>
          <w:spacing w:val="-2"/>
          <w:sz w:val="21"/>
        </w:rPr>
      </w:pPr>
      <w:r>
        <w:rPr>
          <w:rFonts w:hint="eastAsia" w:hAnsi="宋体" w:cs="宋体"/>
          <w:spacing w:val="-2"/>
          <w:sz w:val="21"/>
        </w:rPr>
        <w:t>一、建设工程概况</w:t>
      </w:r>
    </w:p>
    <w:p>
      <w:pPr>
        <w:spacing w:line="360" w:lineRule="auto"/>
        <w:ind w:right="84" w:firstLine="424" w:firstLineChars="202"/>
        <w:rPr>
          <w:rFonts w:hAnsi="宋体" w:cs="宋体"/>
          <w:sz w:val="21"/>
          <w:szCs w:val="21"/>
        </w:rPr>
      </w:pPr>
      <w:r>
        <w:rPr>
          <w:rFonts w:hint="eastAsia" w:hAnsi="宋体" w:cs="宋体"/>
          <w:sz w:val="21"/>
          <w:szCs w:val="21"/>
        </w:rPr>
        <w:t>工程名称：</w:t>
      </w:r>
    </w:p>
    <w:p>
      <w:pPr>
        <w:spacing w:line="360" w:lineRule="auto"/>
        <w:ind w:right="84" w:firstLine="424" w:firstLineChars="202"/>
        <w:rPr>
          <w:rFonts w:hAnsi="宋体" w:cs="宋体"/>
          <w:sz w:val="21"/>
          <w:szCs w:val="21"/>
        </w:rPr>
      </w:pPr>
      <w:r>
        <w:rPr>
          <w:rFonts w:hint="eastAsia" w:hAnsi="宋体" w:cs="宋体"/>
          <w:sz w:val="21"/>
          <w:szCs w:val="21"/>
        </w:rPr>
        <w:t>工程地点：</w:t>
      </w:r>
    </w:p>
    <w:p>
      <w:pPr>
        <w:pStyle w:val="5"/>
        <w:ind w:firstLine="426" w:firstLineChars="202"/>
        <w:rPr>
          <w:rFonts w:hAnsi="宋体" w:cs="宋体"/>
          <w:b w:val="0"/>
          <w:bCs w:val="0"/>
          <w:sz w:val="21"/>
          <w:szCs w:val="21"/>
        </w:rPr>
      </w:pPr>
      <w:r>
        <w:rPr>
          <w:rFonts w:hint="eastAsia" w:hAnsi="宋体" w:cs="宋体"/>
          <w:sz w:val="21"/>
          <w:szCs w:val="21"/>
        </w:rPr>
        <w:t>二、审计的目标、审计的方式和主要内容</w:t>
      </w:r>
    </w:p>
    <w:p>
      <w:pPr>
        <w:spacing w:line="360" w:lineRule="auto"/>
        <w:ind w:firstLine="426" w:firstLineChars="202"/>
        <w:rPr>
          <w:rFonts w:hAnsi="宋体" w:cs="宋体"/>
          <w:b/>
          <w:bCs/>
          <w:sz w:val="21"/>
          <w:szCs w:val="21"/>
        </w:rPr>
      </w:pPr>
      <w:r>
        <w:rPr>
          <w:rFonts w:hint="eastAsia" w:hAnsi="宋体" w:cs="宋体"/>
          <w:b/>
          <w:bCs/>
          <w:sz w:val="21"/>
          <w:szCs w:val="21"/>
        </w:rPr>
        <w:t>(一)审计的目标</w:t>
      </w:r>
    </w:p>
    <w:p>
      <w:pPr>
        <w:tabs>
          <w:tab w:val="left" w:pos="5080"/>
        </w:tabs>
        <w:spacing w:line="360" w:lineRule="auto"/>
        <w:ind w:right="84" w:firstLine="424" w:firstLineChars="202"/>
        <w:rPr>
          <w:rFonts w:hAnsi="宋体" w:cs="宋体"/>
          <w:sz w:val="21"/>
          <w:szCs w:val="21"/>
        </w:rPr>
      </w:pPr>
      <w:r>
        <w:rPr>
          <w:rFonts w:hint="eastAsia" w:hAnsi="宋体" w:cs="宋体"/>
          <w:sz w:val="21"/>
          <w:szCs w:val="21"/>
        </w:rPr>
        <w:t>通过竣工决算审计，了解</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在政策执行、资金和建设管理方面的内容，重点对项</w:t>
      </w:r>
      <w:r>
        <w:rPr>
          <w:rFonts w:hint="eastAsia" w:hAnsi="宋体" w:cs="宋体"/>
          <w:spacing w:val="-10"/>
          <w:sz w:val="21"/>
          <w:szCs w:val="21"/>
        </w:rPr>
        <w:t>目</w:t>
      </w:r>
      <w:r>
        <w:rPr>
          <w:rFonts w:hint="eastAsia" w:hAnsi="宋体" w:cs="宋体"/>
          <w:sz w:val="21"/>
          <w:szCs w:val="21"/>
        </w:rPr>
        <w:t>资金的筹集、拨付、使用、结算、项目计划、立项审批、征地拆迁、实施进度等方面进行审计。同时对项目招投标、投资完成情况、工程质量、施工单位和其他参建单位履约、建设资金管理使用情况等内容进行审计，保证竣工决算的准确性、真实性和完整性，揭示</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在建设营</w:t>
      </w:r>
      <w:r>
        <w:rPr>
          <w:rFonts w:hint="eastAsia" w:hAnsi="宋体" w:cs="宋体"/>
          <w:spacing w:val="-16"/>
          <w:sz w:val="21"/>
          <w:szCs w:val="21"/>
        </w:rPr>
        <w:t>运</w:t>
      </w:r>
      <w:r>
        <w:rPr>
          <w:rFonts w:hint="eastAsia" w:hAnsi="宋体" w:cs="宋体"/>
          <w:sz w:val="21"/>
          <w:szCs w:val="21"/>
        </w:rPr>
        <w:t>中存在的潜在风险隐患、管理漏洞、损失浪费和重大违法违规等突出问题，深入分析产生问题的原因，从提高投资绩效、完善制度、规范项目管理等方面提出建议，促进项目健康运行。</w:t>
      </w:r>
    </w:p>
    <w:p>
      <w:pPr>
        <w:spacing w:line="360" w:lineRule="auto"/>
        <w:ind w:firstLine="426" w:firstLineChars="202"/>
        <w:rPr>
          <w:rFonts w:hAnsi="宋体" w:cs="宋体"/>
          <w:b/>
          <w:bCs/>
          <w:sz w:val="21"/>
          <w:szCs w:val="21"/>
        </w:rPr>
      </w:pPr>
      <w:r>
        <w:rPr>
          <w:rFonts w:hint="eastAsia" w:hAnsi="宋体" w:cs="宋体"/>
          <w:b/>
          <w:bCs/>
          <w:sz w:val="21"/>
          <w:szCs w:val="21"/>
        </w:rPr>
        <w:t>（二）审计的方式和主要内容</w:t>
      </w:r>
    </w:p>
    <w:p>
      <w:pPr>
        <w:pStyle w:val="29"/>
        <w:numPr>
          <w:ilvl w:val="0"/>
          <w:numId w:val="13"/>
        </w:numPr>
        <w:tabs>
          <w:tab w:val="left" w:pos="5080"/>
        </w:tabs>
        <w:spacing w:line="360" w:lineRule="auto"/>
        <w:ind w:left="0" w:right="84" w:firstLine="426" w:firstLineChars="0"/>
        <w:rPr>
          <w:rFonts w:hAnsi="宋体" w:cs="宋体"/>
          <w:sz w:val="21"/>
          <w:szCs w:val="21"/>
        </w:rPr>
      </w:pPr>
      <w:r>
        <w:rPr>
          <w:rFonts w:hint="eastAsia" w:hAnsi="宋体" w:cs="宋体"/>
          <w:sz w:val="21"/>
          <w:szCs w:val="21"/>
        </w:rPr>
        <w:t>甲方全面负责本项目财务审计的组织、协调、指导和监督乙方开展审计工作，对乙方提交的审计结论进行复核（重大问题必须全部纳入复核）。</w:t>
      </w:r>
    </w:p>
    <w:p>
      <w:pPr>
        <w:pStyle w:val="29"/>
        <w:numPr>
          <w:ilvl w:val="0"/>
          <w:numId w:val="13"/>
        </w:numPr>
        <w:tabs>
          <w:tab w:val="left" w:pos="5080"/>
        </w:tabs>
        <w:spacing w:line="360" w:lineRule="auto"/>
        <w:ind w:left="0" w:right="84" w:firstLine="426" w:firstLineChars="0"/>
        <w:rPr>
          <w:rFonts w:hAnsi="宋体" w:cs="宋体"/>
          <w:sz w:val="21"/>
          <w:szCs w:val="21"/>
        </w:rPr>
      </w:pPr>
      <w:r>
        <w:rPr>
          <w:rFonts w:hint="eastAsia" w:hAnsi="宋体" w:cs="宋体"/>
          <w:sz w:val="21"/>
          <w:szCs w:val="21"/>
        </w:rPr>
        <w:t>乙方除负责对财务审计外，还应组织协调工程结算审计单位参与对项目资金的筹集、拨付、使用、结算、项目计划、立项审批、实施进度等审计工作，以及对项目节概、工期提前、提高绩效、规范管理和制度完善等方面的分析工作，确保项目审计完整性。财务审计应在被审计单位审核认定的范围和数据基础上进行全面审计，最终形成竣工决算审计结论，且对形成的结论负责。所有审计结论必须有审计取证单和审计工作底稿作为支撑。</w:t>
      </w:r>
    </w:p>
    <w:p>
      <w:pPr>
        <w:pStyle w:val="29"/>
        <w:numPr>
          <w:ilvl w:val="0"/>
          <w:numId w:val="13"/>
        </w:numPr>
        <w:tabs>
          <w:tab w:val="left" w:pos="5080"/>
        </w:tabs>
        <w:spacing w:line="360" w:lineRule="auto"/>
        <w:ind w:left="0" w:right="565" w:firstLine="426" w:firstLineChars="0"/>
        <w:rPr>
          <w:rFonts w:hAnsi="宋体" w:cs="宋体"/>
          <w:spacing w:val="-16"/>
          <w:sz w:val="21"/>
        </w:rPr>
      </w:pPr>
      <w:r>
        <w:rPr>
          <w:rFonts w:hint="eastAsia" w:hAnsi="宋体" w:cs="宋体"/>
          <w:sz w:val="21"/>
        </w:rPr>
        <w:t>乙方承担本项目竣工财务决算审计工作，预估送审金额为</w:t>
      </w:r>
      <w:r>
        <w:rPr>
          <w:rFonts w:hint="eastAsia" w:hAnsi="宋体" w:cs="宋体"/>
          <w:sz w:val="21"/>
          <w:u w:val="single"/>
        </w:rPr>
        <w:t xml:space="preserve">  </w:t>
      </w:r>
      <w:r>
        <w:rPr>
          <w:rFonts w:hint="eastAsia" w:hAnsi="宋体" w:cs="宋体"/>
          <w:sz w:val="21"/>
          <w:u w:val="single"/>
        </w:rPr>
        <w:tab/>
      </w:r>
      <w:r>
        <w:rPr>
          <w:rFonts w:hint="eastAsia" w:hAnsi="宋体" w:cs="宋体"/>
          <w:sz w:val="21"/>
        </w:rPr>
        <w:t>万元</w:t>
      </w:r>
      <w:r>
        <w:rPr>
          <w:rFonts w:hint="eastAsia" w:hAnsi="宋体" w:cs="宋体"/>
          <w:spacing w:val="-16"/>
          <w:sz w:val="21"/>
        </w:rPr>
        <w:t>。</w:t>
      </w:r>
    </w:p>
    <w:p>
      <w:pPr>
        <w:pStyle w:val="5"/>
        <w:ind w:firstLine="426" w:firstLineChars="202"/>
        <w:rPr>
          <w:rFonts w:hAnsi="宋体" w:cs="宋体"/>
          <w:sz w:val="21"/>
        </w:rPr>
      </w:pPr>
      <w:r>
        <w:rPr>
          <w:rFonts w:hint="eastAsia" w:hAnsi="宋体" w:cs="宋体"/>
          <w:sz w:val="21"/>
        </w:rPr>
        <w:t>三、合同价格与支付方式</w:t>
      </w:r>
    </w:p>
    <w:p>
      <w:pPr>
        <w:spacing w:line="360" w:lineRule="auto"/>
        <w:ind w:firstLine="426" w:firstLineChars="202"/>
        <w:rPr>
          <w:rFonts w:hAnsi="宋体" w:cs="宋体"/>
          <w:b/>
          <w:bCs/>
          <w:sz w:val="21"/>
          <w:szCs w:val="21"/>
          <w:highlight w:val="yellow"/>
        </w:rPr>
      </w:pPr>
      <w:r>
        <w:rPr>
          <w:rFonts w:hint="eastAsia" w:hAnsi="宋体" w:cs="宋体"/>
          <w:b/>
          <w:bCs/>
          <w:sz w:val="21"/>
          <w:szCs w:val="21"/>
        </w:rPr>
        <w:t>（一）合同价格</w:t>
      </w:r>
    </w:p>
    <w:p>
      <w:pPr>
        <w:tabs>
          <w:tab w:val="left" w:pos="4900"/>
          <w:tab w:val="left" w:pos="6251"/>
        </w:tabs>
        <w:spacing w:line="360" w:lineRule="auto"/>
        <w:ind w:right="84" w:firstLine="424" w:firstLineChars="202"/>
        <w:rPr>
          <w:rFonts w:hAnsi="宋体" w:cs="宋体"/>
          <w:sz w:val="21"/>
          <w:szCs w:val="21"/>
        </w:rPr>
      </w:pPr>
      <w:r>
        <w:rPr>
          <w:rFonts w:hint="eastAsia" w:hAnsi="宋体" w:cs="宋体"/>
          <w:sz w:val="21"/>
          <w:szCs w:val="21"/>
          <w:lang w:val="en-US"/>
        </w:rPr>
        <w:t>1.</w:t>
      </w:r>
      <w:r>
        <w:rPr>
          <w:rFonts w:hint="eastAsia" w:hAnsi="宋体" w:cs="宋体"/>
          <w:sz w:val="21"/>
          <w:szCs w:val="21"/>
        </w:rPr>
        <w:t>全部审计服务费用为人民币</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pacing w:val="-8"/>
          <w:sz w:val="21"/>
          <w:szCs w:val="21"/>
        </w:rPr>
        <w:t>元</w:t>
      </w:r>
      <w:r>
        <w:rPr>
          <w:rFonts w:hint="eastAsia" w:hAnsi="宋体" w:cs="宋体"/>
          <w:sz w:val="21"/>
          <w:szCs w:val="21"/>
        </w:rPr>
        <w:t>（大写：</w:t>
      </w:r>
      <w:r>
        <w:rPr>
          <w:rFonts w:hint="eastAsia" w:hAnsi="宋体" w:cs="宋体"/>
          <w:sz w:val="21"/>
          <w:szCs w:val="21"/>
        </w:rPr>
        <w:tab/>
      </w:r>
      <w:r>
        <w:rPr>
          <w:rFonts w:hint="eastAsia" w:hAnsi="宋体" w:cs="宋体"/>
          <w:sz w:val="21"/>
          <w:szCs w:val="21"/>
        </w:rPr>
        <w:t>元整</w:t>
      </w:r>
      <w:r>
        <w:rPr>
          <w:rFonts w:hint="eastAsia" w:hAnsi="宋体" w:cs="宋体"/>
          <w:spacing w:val="-7"/>
          <w:sz w:val="21"/>
          <w:szCs w:val="21"/>
        </w:rPr>
        <w:t>），</w:t>
      </w:r>
      <w:r>
        <w:rPr>
          <w:rFonts w:hint="eastAsia" w:hAnsi="宋体" w:cs="宋体"/>
          <w:sz w:val="21"/>
          <w:szCs w:val="21"/>
        </w:rPr>
        <w:t>该审计费用由</w:t>
      </w:r>
      <w:r>
        <w:rPr>
          <w:rFonts w:hint="eastAsia" w:hAnsi="宋体" w:cs="宋体"/>
          <w:sz w:val="21"/>
          <w:szCs w:val="21"/>
          <w:lang w:val="en-US"/>
        </w:rPr>
        <w:t>甲</w:t>
      </w:r>
      <w:r>
        <w:rPr>
          <w:rFonts w:hint="eastAsia" w:hAnsi="宋体" w:cs="宋体"/>
          <w:sz w:val="21"/>
          <w:szCs w:val="21"/>
        </w:rPr>
        <w:t>方</w:t>
      </w:r>
      <w:r>
        <w:rPr>
          <w:rFonts w:hint="eastAsia" w:hAnsi="宋体" w:cs="宋体"/>
          <w:sz w:val="21"/>
          <w:szCs w:val="21"/>
          <w:lang w:val="en-US"/>
        </w:rPr>
        <w:t>2</w:t>
      </w:r>
      <w:r>
        <w:rPr>
          <w:rFonts w:hint="eastAsia" w:hAnsi="宋体" w:cs="宋体"/>
          <w:sz w:val="21"/>
          <w:szCs w:val="21"/>
        </w:rPr>
        <w:t>按本合同支付。</w:t>
      </w:r>
    </w:p>
    <w:p>
      <w:pPr>
        <w:numPr>
          <w:ilvl w:val="255"/>
          <w:numId w:val="0"/>
        </w:numPr>
        <w:tabs>
          <w:tab w:val="left" w:pos="963"/>
        </w:tabs>
        <w:spacing w:line="360" w:lineRule="auto"/>
        <w:ind w:right="84" w:firstLine="420" w:firstLineChars="200"/>
        <w:rPr>
          <w:rFonts w:hAnsi="宋体" w:cs="宋体"/>
          <w:sz w:val="21"/>
          <w:lang w:val="en-US"/>
        </w:rPr>
      </w:pPr>
      <w:r>
        <w:rPr>
          <w:rFonts w:hint="eastAsia" w:hAnsi="宋体" w:cs="宋体"/>
          <w:sz w:val="21"/>
          <w:lang w:val="en-US"/>
        </w:rPr>
        <w:t>2.</w:t>
      </w:r>
      <w:r>
        <w:rPr>
          <w:rFonts w:hAnsi="宋体" w:cs="宋体"/>
          <w:sz w:val="21"/>
          <w:lang w:val="en-US"/>
        </w:rPr>
        <w:t>本次审计服务费用含税总额为人民币</w:t>
      </w:r>
      <w:r>
        <w:rPr>
          <w:rFonts w:hint="eastAsia" w:hAnsi="宋体" w:cs="宋体"/>
          <w:sz w:val="21"/>
          <w:lang w:val="en-US"/>
        </w:rPr>
        <w:t xml:space="preserve">   </w:t>
      </w:r>
      <w:r>
        <w:rPr>
          <w:rFonts w:hAnsi="宋体" w:cs="宋体"/>
          <w:sz w:val="21"/>
          <w:lang w:val="en-US"/>
        </w:rPr>
        <w:t>元（大写：</w:t>
      </w:r>
      <w:r>
        <w:rPr>
          <w:rFonts w:hint="eastAsia" w:hAnsi="宋体" w:cs="宋体"/>
          <w:sz w:val="21"/>
          <w:lang w:val="en-US"/>
        </w:rPr>
        <w:t xml:space="preserve">   </w:t>
      </w:r>
      <w:r>
        <w:rPr>
          <w:rFonts w:hAnsi="宋体" w:cs="宋体"/>
          <w:sz w:val="21"/>
          <w:lang w:val="en-US"/>
        </w:rPr>
        <w:t>），其中不含税价格为：</w:t>
      </w:r>
      <w:r>
        <w:rPr>
          <w:rFonts w:hint="eastAsia" w:hAnsi="宋体" w:cs="宋体"/>
          <w:sz w:val="21"/>
          <w:lang w:val="en-US"/>
        </w:rPr>
        <w:t xml:space="preserve"> </w:t>
      </w:r>
      <w:r>
        <w:rPr>
          <w:rFonts w:hAnsi="宋体" w:cs="宋体"/>
          <w:sz w:val="21"/>
          <w:lang w:val="en-US"/>
        </w:rPr>
        <w:t xml:space="preserve"> 元；税费为：</w:t>
      </w:r>
      <w:r>
        <w:rPr>
          <w:rFonts w:hint="eastAsia" w:hAnsi="宋体" w:cs="宋体"/>
          <w:sz w:val="21"/>
          <w:lang w:val="en-US"/>
        </w:rPr>
        <w:t xml:space="preserve"> </w:t>
      </w:r>
      <w:r>
        <w:rPr>
          <w:rFonts w:hAnsi="宋体" w:cs="宋体"/>
          <w:sz w:val="21"/>
          <w:lang w:val="en-US"/>
        </w:rPr>
        <w:t xml:space="preserve"> 元。包括但不限于乙方及乙方工作人员咨询服务费用、税费、乙方工作人员完成本次咨询服务事宜正常发生的交通、住宿、电话、传真、外地差旅费等支出。除此之外，不再承担乙方其他任何费用。</w:t>
      </w:r>
    </w:p>
    <w:p>
      <w:pPr>
        <w:numPr>
          <w:ilvl w:val="255"/>
          <w:numId w:val="0"/>
        </w:numPr>
        <w:spacing w:line="360" w:lineRule="auto"/>
        <w:ind w:firstLine="426" w:firstLineChars="202"/>
        <w:rPr>
          <w:rFonts w:hAnsi="宋体" w:cs="宋体"/>
          <w:sz w:val="21"/>
          <w:lang w:val="en-US"/>
        </w:rPr>
      </w:pPr>
      <w:r>
        <w:rPr>
          <w:rFonts w:hint="eastAsia" w:hAnsi="宋体" w:cs="宋体"/>
          <w:b/>
          <w:bCs/>
          <w:sz w:val="21"/>
          <w:szCs w:val="21"/>
        </w:rPr>
        <w:t>（二）支付方式</w:t>
      </w:r>
    </w:p>
    <w:p>
      <w:pPr>
        <w:numPr>
          <w:ilvl w:val="255"/>
          <w:numId w:val="0"/>
        </w:numPr>
        <w:tabs>
          <w:tab w:val="left" w:pos="963"/>
        </w:tabs>
        <w:spacing w:line="360" w:lineRule="auto"/>
        <w:ind w:right="84" w:firstLine="420" w:firstLineChars="200"/>
        <w:rPr>
          <w:rFonts w:hAnsi="宋体" w:cs="宋体"/>
          <w:sz w:val="21"/>
          <w:lang w:val="en-US"/>
        </w:rPr>
      </w:pPr>
      <w:r>
        <w:rPr>
          <w:rFonts w:hAnsi="宋体" w:cs="宋体"/>
          <w:sz w:val="21"/>
          <w:lang w:val="en-US"/>
        </w:rPr>
        <w:t>竣工财务决算审计结束，乙方按甲方</w:t>
      </w:r>
      <w:r>
        <w:rPr>
          <w:rFonts w:hint="eastAsia" w:hAnsi="宋体" w:cs="宋体"/>
          <w:sz w:val="21"/>
          <w:lang w:val="en-US"/>
        </w:rPr>
        <w:t>2</w:t>
      </w:r>
      <w:r>
        <w:rPr>
          <w:rFonts w:hAnsi="宋体" w:cs="宋体"/>
          <w:sz w:val="21"/>
          <w:lang w:val="en-US"/>
        </w:rPr>
        <w:t>要求，向甲方</w:t>
      </w:r>
      <w:r>
        <w:rPr>
          <w:rFonts w:hint="eastAsia" w:hAnsi="宋体" w:cs="宋体"/>
          <w:sz w:val="21"/>
          <w:lang w:val="en-US"/>
        </w:rPr>
        <w:t>2</w:t>
      </w:r>
      <w:r>
        <w:rPr>
          <w:rFonts w:hAnsi="宋体" w:cs="宋体"/>
          <w:sz w:val="21"/>
          <w:lang w:val="en-US"/>
        </w:rPr>
        <w:t>提交正式审计报告一式【陆】份及合法有效足额的发票（增值税专用发票）后，甲方</w:t>
      </w:r>
      <w:r>
        <w:rPr>
          <w:rFonts w:hint="eastAsia" w:hAnsi="宋体" w:cs="宋体"/>
          <w:sz w:val="21"/>
          <w:lang w:val="en-US"/>
        </w:rPr>
        <w:t>2</w:t>
      </w:r>
      <w:r>
        <w:rPr>
          <w:rFonts w:hAnsi="宋体" w:cs="宋体"/>
          <w:sz w:val="21"/>
          <w:lang w:val="en-US"/>
        </w:rPr>
        <w:t>在14个工作日内向乙方一次性支付审计费用。</w:t>
      </w:r>
      <w:r>
        <w:rPr>
          <w:rFonts w:hint="eastAsia" w:hAnsi="宋体" w:cs="宋体"/>
          <w:sz w:val="21"/>
          <w:szCs w:val="21"/>
          <w:lang w:val="en-US"/>
        </w:rPr>
        <w:t>如因乙方未能及时提交所需的相关资料和票据，或提交的资料和票据不能满足甲方2的付款要求造成付款延误，甲方2不承担逾期付款的责任。</w:t>
      </w:r>
    </w:p>
    <w:p>
      <w:pPr>
        <w:pStyle w:val="5"/>
        <w:ind w:firstLine="426" w:firstLineChars="202"/>
        <w:rPr>
          <w:rFonts w:hAnsi="宋体" w:cs="宋体"/>
          <w:sz w:val="21"/>
          <w:szCs w:val="21"/>
        </w:rPr>
      </w:pPr>
      <w:r>
        <w:rPr>
          <w:rFonts w:hint="eastAsia" w:hAnsi="宋体" w:cs="宋体"/>
          <w:sz w:val="21"/>
          <w:szCs w:val="21"/>
        </w:rPr>
        <w:t>四、审计方式及时间期限</w:t>
      </w:r>
    </w:p>
    <w:p>
      <w:pPr>
        <w:tabs>
          <w:tab w:val="left" w:pos="4900"/>
          <w:tab w:val="left" w:pos="6251"/>
        </w:tabs>
        <w:spacing w:line="360" w:lineRule="auto"/>
        <w:ind w:right="84" w:firstLine="387" w:firstLineChars="202"/>
        <w:rPr>
          <w:rFonts w:hAnsi="宋体" w:cs="宋体"/>
          <w:spacing w:val="-9"/>
          <w:sz w:val="21"/>
          <w:szCs w:val="21"/>
        </w:rPr>
      </w:pPr>
      <w:r>
        <w:rPr>
          <w:rFonts w:hint="eastAsia" w:hAnsi="宋体" w:cs="宋体"/>
          <w:spacing w:val="-9"/>
          <w:sz w:val="21"/>
          <w:szCs w:val="21"/>
        </w:rPr>
        <w:t>（一）审计方式：就地审计</w:t>
      </w:r>
    </w:p>
    <w:p>
      <w:pPr>
        <w:tabs>
          <w:tab w:val="left" w:pos="4900"/>
          <w:tab w:val="left" w:pos="6251"/>
        </w:tabs>
        <w:spacing w:line="360" w:lineRule="auto"/>
        <w:ind w:right="84" w:firstLine="424" w:firstLineChars="202"/>
        <w:rPr>
          <w:rFonts w:hAnsi="宋体" w:cs="宋体"/>
          <w:spacing w:val="-2"/>
          <w:sz w:val="21"/>
          <w:szCs w:val="21"/>
        </w:rPr>
      </w:pPr>
      <w:r>
        <w:rPr>
          <w:rFonts w:hint="eastAsia" w:hAnsi="宋体" w:cs="宋体"/>
          <w:sz w:val="21"/>
          <w:szCs w:val="21"/>
        </w:rPr>
        <w:t>（二</w:t>
      </w:r>
      <w:r>
        <w:rPr>
          <w:rFonts w:hint="eastAsia" w:hAnsi="宋体" w:cs="宋体"/>
          <w:spacing w:val="-27"/>
          <w:sz w:val="21"/>
          <w:szCs w:val="21"/>
        </w:rPr>
        <w:t>）</w:t>
      </w:r>
      <w:r>
        <w:rPr>
          <w:rFonts w:hint="eastAsia" w:hAnsi="宋体" w:cs="宋体"/>
          <w:spacing w:val="-9"/>
          <w:sz w:val="21"/>
          <w:szCs w:val="21"/>
        </w:rPr>
        <w:t xml:space="preserve">完成时限：按甲方通知的时间起算 </w:t>
      </w:r>
      <w:r>
        <w:rPr>
          <w:rFonts w:hint="eastAsia" w:hAnsi="宋体" w:cs="宋体"/>
          <w:sz w:val="21"/>
          <w:szCs w:val="21"/>
          <w:u w:val="single"/>
        </w:rPr>
        <w:t xml:space="preserve">      </w:t>
      </w:r>
      <w:r>
        <w:rPr>
          <w:rFonts w:hint="eastAsia" w:hAnsi="宋体" w:cs="宋体"/>
          <w:spacing w:val="-16"/>
          <w:sz w:val="21"/>
          <w:szCs w:val="21"/>
          <w:u w:val="single"/>
        </w:rPr>
        <w:t xml:space="preserve"> </w:t>
      </w:r>
      <w:r>
        <w:rPr>
          <w:rFonts w:hint="eastAsia" w:hAnsi="宋体" w:cs="宋体"/>
          <w:spacing w:val="-16"/>
          <w:sz w:val="21"/>
          <w:szCs w:val="21"/>
        </w:rPr>
        <w:t>日历天</w:t>
      </w:r>
      <w:r>
        <w:rPr>
          <w:rFonts w:hint="eastAsia" w:hAnsi="宋体" w:cs="宋体"/>
          <w:spacing w:val="-2"/>
          <w:sz w:val="21"/>
          <w:szCs w:val="21"/>
        </w:rPr>
        <w:t>内完成财务决算审计并提交审计报告。</w:t>
      </w:r>
    </w:p>
    <w:p>
      <w:pPr>
        <w:tabs>
          <w:tab w:val="left" w:pos="4900"/>
          <w:tab w:val="left" w:pos="6251"/>
        </w:tabs>
        <w:spacing w:line="360" w:lineRule="auto"/>
        <w:ind w:right="84" w:firstLine="424" w:firstLineChars="202"/>
        <w:rPr>
          <w:rFonts w:hAnsi="宋体" w:cs="宋体"/>
          <w:sz w:val="21"/>
          <w:szCs w:val="21"/>
        </w:rPr>
      </w:pPr>
      <w:r>
        <w:rPr>
          <w:rFonts w:hint="eastAsia" w:hAnsi="宋体" w:cs="宋体"/>
          <w:sz w:val="21"/>
          <w:szCs w:val="21"/>
        </w:rPr>
        <w:t>乙方因客观原因不能按期完成审计事项的，应于期满十日前向</w:t>
      </w:r>
      <w:r>
        <w:rPr>
          <w:rFonts w:hint="eastAsia" w:hAnsi="宋体" w:cs="宋体"/>
          <w:sz w:val="21"/>
          <w:szCs w:val="21"/>
          <w:lang w:val="en-US"/>
        </w:rPr>
        <w:t>甲</w:t>
      </w:r>
      <w:r>
        <w:rPr>
          <w:rFonts w:hint="eastAsia" w:hAnsi="宋体" w:cs="宋体"/>
          <w:sz w:val="21"/>
          <w:szCs w:val="21"/>
        </w:rPr>
        <w:t>方提出延期的申请并经甲方审定同意，具体延长期限由甲方确定。</w:t>
      </w:r>
    </w:p>
    <w:p>
      <w:pPr>
        <w:pStyle w:val="5"/>
        <w:ind w:firstLine="426" w:firstLineChars="202"/>
        <w:rPr>
          <w:rFonts w:hAnsi="宋体" w:cs="宋体"/>
          <w:sz w:val="21"/>
          <w:szCs w:val="21"/>
        </w:rPr>
      </w:pPr>
      <w:r>
        <w:rPr>
          <w:rFonts w:hint="eastAsia" w:hAnsi="宋体" w:cs="宋体"/>
          <w:sz w:val="21"/>
          <w:szCs w:val="21"/>
        </w:rPr>
        <w:t>五、组成协议的文件</w:t>
      </w:r>
    </w:p>
    <w:p>
      <w:pPr>
        <w:spacing w:line="360" w:lineRule="auto"/>
        <w:ind w:left="331" w:right="672" w:firstLine="387" w:firstLineChars="202"/>
        <w:rPr>
          <w:rFonts w:hAnsi="宋体" w:cs="宋体"/>
          <w:spacing w:val="-9"/>
          <w:sz w:val="21"/>
          <w:szCs w:val="21"/>
        </w:rPr>
      </w:pPr>
      <w:r>
        <w:rPr>
          <w:rFonts w:hint="eastAsia" w:hAnsi="宋体" w:cs="宋体"/>
          <w:spacing w:val="-9"/>
          <w:sz w:val="21"/>
          <w:szCs w:val="21"/>
        </w:rPr>
        <w:t>（一）本合同</w:t>
      </w:r>
    </w:p>
    <w:p>
      <w:pPr>
        <w:spacing w:line="360" w:lineRule="auto"/>
        <w:ind w:left="331" w:right="672" w:firstLine="387" w:firstLineChars="202"/>
        <w:rPr>
          <w:rFonts w:hAnsi="宋体" w:cs="宋体"/>
          <w:spacing w:val="-9"/>
          <w:sz w:val="21"/>
          <w:szCs w:val="21"/>
        </w:rPr>
      </w:pPr>
      <w:r>
        <w:rPr>
          <w:rFonts w:hint="eastAsia" w:hAnsi="宋体" w:cs="宋体"/>
          <w:spacing w:val="-9"/>
          <w:sz w:val="21"/>
          <w:szCs w:val="21"/>
        </w:rPr>
        <w:t>（二）附件</w:t>
      </w:r>
    </w:p>
    <w:p>
      <w:pPr>
        <w:pStyle w:val="5"/>
        <w:ind w:firstLine="426" w:firstLineChars="202"/>
        <w:rPr>
          <w:rFonts w:hAnsi="宋体" w:cs="宋体"/>
          <w:sz w:val="21"/>
          <w:szCs w:val="21"/>
        </w:rPr>
      </w:pPr>
      <w:r>
        <w:rPr>
          <w:rFonts w:hint="eastAsia" w:hAnsi="宋体" w:cs="宋体"/>
          <w:sz w:val="21"/>
          <w:szCs w:val="21"/>
        </w:rPr>
        <w:t>六、权利和义务</w:t>
      </w:r>
    </w:p>
    <w:p>
      <w:pPr>
        <w:spacing w:line="360" w:lineRule="auto"/>
        <w:ind w:firstLine="426" w:firstLineChars="202"/>
        <w:rPr>
          <w:rFonts w:hAnsi="宋体" w:cs="宋体"/>
          <w:b/>
          <w:bCs/>
          <w:sz w:val="21"/>
          <w:szCs w:val="21"/>
        </w:rPr>
      </w:pPr>
      <w:r>
        <w:rPr>
          <w:rFonts w:hint="eastAsia" w:hAnsi="宋体" w:cs="宋体"/>
          <w:b/>
          <w:bCs/>
          <w:sz w:val="21"/>
          <w:szCs w:val="21"/>
        </w:rPr>
        <w:t>（一）甲方的权利和义务</w:t>
      </w:r>
    </w:p>
    <w:p>
      <w:pPr>
        <w:spacing w:line="360" w:lineRule="auto"/>
        <w:ind w:firstLine="847" w:firstLineChars="402"/>
        <w:rPr>
          <w:rFonts w:hAnsi="宋体" w:cs="宋体"/>
          <w:b/>
          <w:bCs/>
          <w:sz w:val="21"/>
          <w:szCs w:val="21"/>
        </w:rPr>
      </w:pPr>
      <w:r>
        <w:rPr>
          <w:rFonts w:hint="eastAsia" w:hAnsi="宋体" w:cs="宋体"/>
          <w:b/>
          <w:bCs/>
          <w:sz w:val="21"/>
          <w:szCs w:val="21"/>
        </w:rPr>
        <w:t>1.甲方的权利</w:t>
      </w:r>
    </w:p>
    <w:p>
      <w:pPr>
        <w:pStyle w:val="29"/>
        <w:numPr>
          <w:ilvl w:val="255"/>
          <w:numId w:val="0"/>
        </w:numPr>
        <w:spacing w:line="360" w:lineRule="auto"/>
        <w:ind w:right="671" w:firstLine="420" w:firstLineChars="200"/>
        <w:rPr>
          <w:rFonts w:hAnsi="宋体" w:cs="宋体"/>
          <w:sz w:val="21"/>
          <w:szCs w:val="21"/>
        </w:rPr>
      </w:pPr>
      <w:r>
        <w:rPr>
          <w:rFonts w:hint="eastAsia" w:hAnsi="宋体" w:cs="宋体"/>
          <w:sz w:val="21"/>
          <w:szCs w:val="21"/>
        </w:rPr>
        <w:t>（</w:t>
      </w:r>
      <w:r>
        <w:rPr>
          <w:rFonts w:hint="eastAsia" w:hAnsi="宋体" w:cs="宋体"/>
          <w:sz w:val="21"/>
          <w:szCs w:val="21"/>
          <w:lang w:val="en-US"/>
        </w:rPr>
        <w:t>1</w:t>
      </w:r>
      <w:r>
        <w:rPr>
          <w:rFonts w:hint="eastAsia" w:hAnsi="宋体" w:cs="宋体"/>
          <w:sz w:val="21"/>
          <w:szCs w:val="21"/>
        </w:rPr>
        <w:t>）有权了解工作进展情况并监督乙方审计纪律的执行。</w:t>
      </w:r>
    </w:p>
    <w:p>
      <w:pPr>
        <w:pStyle w:val="29"/>
        <w:numPr>
          <w:ilvl w:val="255"/>
          <w:numId w:val="0"/>
        </w:numPr>
        <w:spacing w:line="360" w:lineRule="auto"/>
        <w:ind w:right="671" w:firstLine="420" w:firstLineChars="200"/>
        <w:rPr>
          <w:rFonts w:hAnsi="宋体" w:cs="宋体"/>
          <w:sz w:val="21"/>
          <w:szCs w:val="21"/>
        </w:rPr>
      </w:pPr>
      <w:r>
        <w:rPr>
          <w:rFonts w:hint="eastAsia" w:hAnsi="宋体" w:cs="宋体"/>
          <w:sz w:val="21"/>
          <w:szCs w:val="21"/>
        </w:rPr>
        <w:t>（</w:t>
      </w:r>
      <w:r>
        <w:rPr>
          <w:rFonts w:hint="eastAsia" w:hAnsi="宋体" w:cs="宋体"/>
          <w:sz w:val="21"/>
          <w:szCs w:val="21"/>
          <w:lang w:val="en-US"/>
        </w:rPr>
        <w:t>2</w:t>
      </w:r>
      <w:r>
        <w:rPr>
          <w:rFonts w:hint="eastAsia" w:hAnsi="宋体" w:cs="宋体"/>
          <w:sz w:val="21"/>
          <w:szCs w:val="21"/>
        </w:rPr>
        <w:t xml:space="preserve">）有权对乙方审计过程中提出的具体问题阐述意见或进行说明。  </w:t>
      </w:r>
    </w:p>
    <w:p>
      <w:pPr>
        <w:spacing w:line="360" w:lineRule="auto"/>
        <w:ind w:left="331" w:right="671" w:firstLine="426" w:firstLineChars="202"/>
        <w:rPr>
          <w:rFonts w:hAnsi="宋体" w:cs="宋体"/>
          <w:b/>
          <w:sz w:val="21"/>
        </w:rPr>
      </w:pPr>
      <w:r>
        <w:rPr>
          <w:rFonts w:hint="eastAsia" w:hAnsi="宋体" w:cs="宋体"/>
          <w:b/>
          <w:sz w:val="21"/>
        </w:rPr>
        <w:t>2.甲方的义务</w:t>
      </w:r>
    </w:p>
    <w:p>
      <w:pPr>
        <w:pStyle w:val="29"/>
        <w:numPr>
          <w:ilvl w:val="255"/>
          <w:numId w:val="0"/>
        </w:numPr>
        <w:spacing w:line="360" w:lineRule="auto"/>
        <w:ind w:left="426" w:right="84"/>
        <w:rPr>
          <w:rFonts w:hAnsi="宋体" w:cs="宋体"/>
          <w:sz w:val="21"/>
          <w:szCs w:val="21"/>
        </w:rPr>
      </w:pPr>
      <w:r>
        <w:rPr>
          <w:rFonts w:hint="eastAsia" w:hAnsi="宋体" w:cs="宋体"/>
          <w:sz w:val="21"/>
          <w:szCs w:val="21"/>
        </w:rPr>
        <w:t>（</w:t>
      </w:r>
      <w:r>
        <w:rPr>
          <w:rFonts w:hint="eastAsia" w:hAnsi="宋体" w:cs="宋体"/>
          <w:sz w:val="21"/>
          <w:szCs w:val="21"/>
          <w:lang w:val="en-US"/>
        </w:rPr>
        <w:t>1</w:t>
      </w:r>
      <w:r>
        <w:rPr>
          <w:rFonts w:hint="eastAsia" w:hAnsi="宋体" w:cs="宋体"/>
          <w:sz w:val="21"/>
          <w:szCs w:val="21"/>
        </w:rPr>
        <w:t>）负责配合实施本项目竣工决算审计工作。</w:t>
      </w:r>
    </w:p>
    <w:p>
      <w:pPr>
        <w:pStyle w:val="29"/>
        <w:numPr>
          <w:ilvl w:val="255"/>
          <w:numId w:val="0"/>
        </w:numPr>
        <w:spacing w:line="360" w:lineRule="auto"/>
        <w:ind w:left="426" w:right="84"/>
        <w:rPr>
          <w:rFonts w:hAnsi="宋体" w:cs="宋体"/>
          <w:sz w:val="21"/>
          <w:szCs w:val="21"/>
        </w:rPr>
      </w:pPr>
      <w:r>
        <w:rPr>
          <w:rFonts w:hint="eastAsia" w:hAnsi="宋体" w:cs="宋体"/>
          <w:sz w:val="21"/>
          <w:szCs w:val="21"/>
        </w:rPr>
        <w:t>（</w:t>
      </w:r>
      <w:r>
        <w:rPr>
          <w:rFonts w:hint="eastAsia" w:hAnsi="宋体" w:cs="宋体"/>
          <w:sz w:val="21"/>
          <w:szCs w:val="21"/>
          <w:lang w:val="en-US"/>
        </w:rPr>
        <w:t>2</w:t>
      </w:r>
      <w:r>
        <w:rPr>
          <w:rFonts w:hint="eastAsia" w:hAnsi="宋体" w:cs="宋体"/>
          <w:sz w:val="21"/>
          <w:szCs w:val="21"/>
        </w:rPr>
        <w:t>）负责与项目公司进行协调，为乙方开展工作提供外部条件。</w:t>
      </w:r>
    </w:p>
    <w:p>
      <w:pPr>
        <w:pStyle w:val="29"/>
        <w:numPr>
          <w:ilvl w:val="255"/>
          <w:numId w:val="0"/>
        </w:numPr>
        <w:spacing w:line="360" w:lineRule="auto"/>
        <w:ind w:right="84" w:firstLine="420" w:firstLineChars="200"/>
        <w:rPr>
          <w:rFonts w:hAnsi="宋体" w:cs="宋体"/>
          <w:sz w:val="21"/>
          <w:szCs w:val="21"/>
        </w:rPr>
      </w:pPr>
      <w:r>
        <w:rPr>
          <w:rFonts w:hint="eastAsia" w:hAnsi="宋体" w:cs="宋体"/>
          <w:sz w:val="21"/>
          <w:szCs w:val="21"/>
        </w:rPr>
        <w:t>（</w:t>
      </w:r>
      <w:r>
        <w:rPr>
          <w:rFonts w:hint="eastAsia" w:hAnsi="宋体" w:cs="宋体"/>
          <w:sz w:val="21"/>
          <w:szCs w:val="21"/>
          <w:lang w:val="en-US"/>
        </w:rPr>
        <w:t>3</w:t>
      </w:r>
      <w:r>
        <w:rPr>
          <w:rFonts w:hint="eastAsia" w:hAnsi="宋体" w:cs="宋体"/>
          <w:sz w:val="21"/>
          <w:szCs w:val="21"/>
        </w:rPr>
        <w:t>）负责督促项目公司及时书面答复乙方提出的关于本项目审计事宜，解决阻碍乙方审计工作正常推进的相关问题。</w:t>
      </w:r>
    </w:p>
    <w:p>
      <w:pPr>
        <w:spacing w:line="360" w:lineRule="auto"/>
        <w:ind w:left="331" w:right="671" w:firstLine="426" w:firstLineChars="202"/>
        <w:rPr>
          <w:rFonts w:hAnsi="宋体" w:cs="宋体"/>
          <w:b/>
          <w:bCs/>
          <w:sz w:val="21"/>
          <w:szCs w:val="21"/>
        </w:rPr>
      </w:pPr>
      <w:r>
        <w:rPr>
          <w:rFonts w:hint="eastAsia" w:hAnsi="宋体" w:cs="宋体"/>
          <w:b/>
          <w:bCs/>
          <w:sz w:val="21"/>
          <w:szCs w:val="21"/>
        </w:rPr>
        <w:t>（二）乙方的权利和义务</w:t>
      </w:r>
    </w:p>
    <w:p>
      <w:pPr>
        <w:spacing w:line="360" w:lineRule="auto"/>
        <w:ind w:left="331" w:right="671" w:firstLine="426" w:firstLineChars="202"/>
        <w:rPr>
          <w:rFonts w:hAnsi="宋体" w:cs="宋体"/>
          <w:b/>
          <w:bCs/>
          <w:sz w:val="21"/>
          <w:szCs w:val="21"/>
        </w:rPr>
      </w:pPr>
      <w:r>
        <w:rPr>
          <w:rFonts w:hint="eastAsia" w:hAnsi="宋体" w:cs="宋体"/>
          <w:b/>
          <w:bCs/>
          <w:sz w:val="21"/>
          <w:szCs w:val="21"/>
        </w:rPr>
        <w:t>1.乙方的权利</w:t>
      </w:r>
    </w:p>
    <w:p>
      <w:pPr>
        <w:pStyle w:val="29"/>
        <w:numPr>
          <w:ilvl w:val="255"/>
          <w:numId w:val="0"/>
        </w:numPr>
        <w:spacing w:line="360" w:lineRule="auto"/>
        <w:ind w:left="426" w:right="84"/>
        <w:rPr>
          <w:rFonts w:hAnsi="宋体" w:cs="宋体"/>
          <w:sz w:val="21"/>
          <w:szCs w:val="21"/>
        </w:rPr>
      </w:pPr>
      <w:r>
        <w:rPr>
          <w:rFonts w:hint="eastAsia" w:hAnsi="宋体" w:cs="宋体"/>
          <w:sz w:val="21"/>
          <w:szCs w:val="21"/>
        </w:rPr>
        <w:t>（</w:t>
      </w:r>
      <w:r>
        <w:rPr>
          <w:rFonts w:hint="eastAsia" w:hAnsi="宋体" w:cs="宋体"/>
          <w:sz w:val="21"/>
          <w:szCs w:val="21"/>
          <w:lang w:val="en-US"/>
        </w:rPr>
        <w:t>1</w:t>
      </w:r>
      <w:r>
        <w:rPr>
          <w:rFonts w:hint="eastAsia" w:hAnsi="宋体" w:cs="宋体"/>
          <w:sz w:val="21"/>
          <w:szCs w:val="21"/>
        </w:rPr>
        <w:t>）有权根据相关法律法规、行业准则，严格按照规定程序实施项目审计。</w:t>
      </w:r>
    </w:p>
    <w:p>
      <w:pPr>
        <w:pStyle w:val="29"/>
        <w:numPr>
          <w:ilvl w:val="255"/>
          <w:numId w:val="0"/>
        </w:numPr>
        <w:spacing w:line="360" w:lineRule="auto"/>
        <w:ind w:right="84" w:firstLine="420" w:firstLineChars="200"/>
        <w:rPr>
          <w:rFonts w:hAnsi="宋体" w:cs="宋体"/>
          <w:sz w:val="21"/>
          <w:szCs w:val="21"/>
        </w:rPr>
      </w:pPr>
      <w:r>
        <w:rPr>
          <w:rFonts w:hint="eastAsia" w:hAnsi="宋体" w:cs="宋体"/>
          <w:sz w:val="21"/>
          <w:szCs w:val="21"/>
        </w:rPr>
        <w:t>（</w:t>
      </w:r>
      <w:r>
        <w:rPr>
          <w:rFonts w:hint="eastAsia" w:hAnsi="宋体" w:cs="宋体"/>
          <w:sz w:val="21"/>
          <w:szCs w:val="21"/>
          <w:lang w:val="en-US"/>
        </w:rPr>
        <w:t>2</w:t>
      </w:r>
      <w:r>
        <w:rPr>
          <w:rFonts w:hint="eastAsia" w:hAnsi="宋体" w:cs="宋体"/>
          <w:sz w:val="21"/>
          <w:szCs w:val="21"/>
        </w:rPr>
        <w:t>）乙方在实施项目审计过程中，遇需要甲方组织或协调的事项，有权以书面形式提出获得支持的申请。</w:t>
      </w:r>
    </w:p>
    <w:p>
      <w:pPr>
        <w:pStyle w:val="29"/>
        <w:numPr>
          <w:ilvl w:val="255"/>
          <w:numId w:val="0"/>
        </w:numPr>
        <w:spacing w:line="360" w:lineRule="auto"/>
        <w:ind w:left="426" w:right="84"/>
        <w:rPr>
          <w:rFonts w:hAnsi="宋体" w:cs="宋体"/>
          <w:sz w:val="21"/>
          <w:szCs w:val="21"/>
        </w:rPr>
      </w:pPr>
      <w:r>
        <w:rPr>
          <w:rFonts w:hint="eastAsia" w:hAnsi="宋体" w:cs="宋体"/>
          <w:sz w:val="21"/>
          <w:szCs w:val="21"/>
        </w:rPr>
        <w:t>（</w:t>
      </w:r>
      <w:r>
        <w:rPr>
          <w:rFonts w:hint="eastAsia" w:hAnsi="宋体" w:cs="宋体"/>
          <w:sz w:val="21"/>
          <w:szCs w:val="21"/>
          <w:lang w:val="en-US"/>
        </w:rPr>
        <w:t>3</w:t>
      </w:r>
      <w:r>
        <w:rPr>
          <w:rFonts w:hint="eastAsia" w:hAnsi="宋体" w:cs="宋体"/>
          <w:sz w:val="21"/>
          <w:szCs w:val="21"/>
        </w:rPr>
        <w:t>）收取审计费用的权利。</w:t>
      </w:r>
    </w:p>
    <w:p>
      <w:pPr>
        <w:spacing w:line="360" w:lineRule="auto"/>
        <w:ind w:firstLine="426" w:firstLineChars="202"/>
        <w:rPr>
          <w:rFonts w:hAnsi="宋体" w:cs="宋体"/>
          <w:b/>
          <w:sz w:val="21"/>
        </w:rPr>
      </w:pPr>
      <w:r>
        <w:rPr>
          <w:rFonts w:hint="eastAsia" w:hAnsi="宋体" w:cs="宋体"/>
          <w:b/>
          <w:sz w:val="21"/>
        </w:rPr>
        <w:t>2.乙方的义务</w:t>
      </w:r>
    </w:p>
    <w:p>
      <w:pPr>
        <w:pStyle w:val="29"/>
        <w:numPr>
          <w:ilvl w:val="255"/>
          <w:numId w:val="0"/>
        </w:numPr>
        <w:spacing w:line="360" w:lineRule="auto"/>
        <w:ind w:right="84" w:firstLine="420" w:firstLineChars="200"/>
        <w:rPr>
          <w:rFonts w:hAnsi="宋体" w:cs="宋体"/>
          <w:sz w:val="21"/>
          <w:szCs w:val="21"/>
        </w:rPr>
      </w:pPr>
      <w:r>
        <w:rPr>
          <w:rFonts w:hint="eastAsia" w:hAnsi="宋体" w:cs="宋体"/>
          <w:sz w:val="21"/>
          <w:szCs w:val="21"/>
        </w:rPr>
        <w:t>（</w:t>
      </w:r>
      <w:r>
        <w:rPr>
          <w:rFonts w:hint="eastAsia" w:hAnsi="宋体" w:cs="宋体"/>
          <w:sz w:val="21"/>
          <w:szCs w:val="21"/>
          <w:lang w:val="en-US"/>
        </w:rPr>
        <w:t>1</w:t>
      </w:r>
      <w:r>
        <w:rPr>
          <w:rFonts w:hint="eastAsia" w:hAnsi="宋体" w:cs="宋体"/>
          <w:sz w:val="21"/>
          <w:szCs w:val="21"/>
        </w:rPr>
        <w:t>）根据合同要求实施项目审计，严格执行审计相关法律法规、规章，遵守行业执行准则、  职业道德规范和审计纪律、廉洁从业的规定。</w:t>
      </w:r>
    </w:p>
    <w:p>
      <w:pPr>
        <w:pStyle w:val="29"/>
        <w:numPr>
          <w:ilvl w:val="255"/>
          <w:numId w:val="0"/>
        </w:numPr>
        <w:spacing w:line="360" w:lineRule="auto"/>
        <w:ind w:right="84" w:firstLine="420" w:firstLineChars="200"/>
        <w:rPr>
          <w:rFonts w:hAnsi="宋体" w:cs="宋体"/>
          <w:sz w:val="18"/>
          <w:szCs w:val="21"/>
        </w:rPr>
      </w:pPr>
      <w:r>
        <w:rPr>
          <w:rFonts w:hint="eastAsia" w:hAnsi="宋体" w:cs="宋体"/>
          <w:sz w:val="21"/>
          <w:szCs w:val="21"/>
        </w:rPr>
        <w:t>（</w:t>
      </w:r>
      <w:r>
        <w:rPr>
          <w:rFonts w:hint="eastAsia" w:hAnsi="宋体" w:cs="宋体"/>
          <w:sz w:val="21"/>
          <w:szCs w:val="21"/>
          <w:lang w:val="en-US"/>
        </w:rPr>
        <w:t>2</w:t>
      </w:r>
      <w:r>
        <w:rPr>
          <w:rFonts w:hint="eastAsia" w:hAnsi="宋体" w:cs="宋体"/>
          <w:sz w:val="21"/>
          <w:szCs w:val="21"/>
        </w:rPr>
        <w:t>）接受、实施委托项目审计时应严格执行以下回避要求：</w:t>
      </w:r>
    </w:p>
    <w:p>
      <w:pPr>
        <w:spacing w:line="360" w:lineRule="auto"/>
        <w:ind w:firstLine="497" w:firstLineChars="237"/>
        <w:rPr>
          <w:rFonts w:hAnsi="宋体" w:cs="宋体"/>
          <w:sz w:val="21"/>
          <w:szCs w:val="21"/>
        </w:rPr>
      </w:pPr>
      <w:r>
        <w:rPr>
          <w:rFonts w:hint="eastAsia" w:hAnsi="宋体" w:cs="宋体"/>
          <w:sz w:val="21"/>
          <w:szCs w:val="21"/>
        </w:rPr>
        <w:t>①在接受、实施委托项目审计时，认为存在与被审计单位或审计事项有以下利害关系之一的，</w:t>
      </w:r>
      <w:r>
        <w:rPr>
          <w:rFonts w:hint="eastAsia" w:hAnsi="宋体" w:cs="宋体"/>
          <w:spacing w:val="-10"/>
          <w:sz w:val="21"/>
          <w:szCs w:val="21"/>
        </w:rPr>
        <w:t>应当主动向甲方提出回避申请：机构负责人或其近亲属与被审计单位负责人或直接责任人是夫妻关系、近姻亲关系、三代以内直系血亲或旁系血亲关系的。</w:t>
      </w:r>
    </w:p>
    <w:p>
      <w:pPr>
        <w:spacing w:line="360" w:lineRule="auto"/>
        <w:ind w:firstLine="497" w:firstLineChars="237"/>
        <w:rPr>
          <w:rFonts w:hAnsi="宋体" w:cs="宋体"/>
          <w:sz w:val="21"/>
          <w:szCs w:val="21"/>
        </w:rPr>
      </w:pPr>
      <w:r>
        <w:rPr>
          <w:rFonts w:hint="eastAsia" w:hAnsi="宋体" w:cs="宋体"/>
          <w:sz w:val="21"/>
          <w:szCs w:val="21"/>
        </w:rPr>
        <w:t>②在安排人员实施项目审计时，从业人员本人或其近亲属不得与被审计单位负责人或直接责任人是夫妻关系、近姻亲关系、三代以内直系血亲或旁系血亲关系，不得与审计项目或事项有其他利害关系，或可能影响工作履职的其他情形。</w:t>
      </w:r>
    </w:p>
    <w:p>
      <w:pPr>
        <w:pStyle w:val="29"/>
        <w:numPr>
          <w:ilvl w:val="255"/>
          <w:numId w:val="0"/>
        </w:numPr>
        <w:spacing w:line="360" w:lineRule="auto"/>
        <w:ind w:firstLine="420" w:firstLineChars="200"/>
        <w:rPr>
          <w:rFonts w:hAnsi="宋体" w:cs="宋体"/>
          <w:sz w:val="21"/>
        </w:rPr>
      </w:pPr>
      <w:r>
        <w:rPr>
          <w:rFonts w:hint="eastAsia" w:hAnsi="宋体" w:cs="宋体"/>
          <w:sz w:val="21"/>
        </w:rPr>
        <w:t>（</w:t>
      </w:r>
      <w:r>
        <w:rPr>
          <w:rFonts w:hint="eastAsia" w:hAnsi="宋体" w:cs="宋体"/>
          <w:sz w:val="21"/>
          <w:lang w:val="en-US"/>
        </w:rPr>
        <w:t>3</w:t>
      </w:r>
      <w:r>
        <w:rPr>
          <w:rFonts w:hint="eastAsia" w:hAnsi="宋体" w:cs="宋体"/>
          <w:sz w:val="21"/>
        </w:rPr>
        <w:t>）本项目的负责人：</w:t>
      </w:r>
      <w:r>
        <w:rPr>
          <w:rFonts w:hint="eastAsia" w:hAnsi="宋体" w:cs="宋体"/>
          <w:sz w:val="21"/>
          <w:u w:val="single"/>
        </w:rPr>
        <w:t xml:space="preserve"> </w:t>
      </w:r>
      <w:r>
        <w:rPr>
          <w:rFonts w:hint="eastAsia" w:hAnsi="宋体" w:cs="宋体"/>
          <w:sz w:val="21"/>
          <w:u w:val="single"/>
        </w:rPr>
        <w:tab/>
      </w:r>
      <w:r>
        <w:rPr>
          <w:rFonts w:hint="eastAsia" w:hAnsi="宋体" w:cs="宋体"/>
          <w:sz w:val="21"/>
        </w:rPr>
        <w:t>，参与本项目的全体审计人员，在审计过程中，接受甲方指导、监督和质量考核。</w:t>
      </w:r>
    </w:p>
    <w:p>
      <w:pPr>
        <w:pStyle w:val="29"/>
        <w:numPr>
          <w:ilvl w:val="255"/>
          <w:numId w:val="0"/>
        </w:numPr>
        <w:spacing w:line="360" w:lineRule="auto"/>
        <w:ind w:firstLine="420" w:firstLineChars="200"/>
        <w:rPr>
          <w:rFonts w:hAnsi="宋体" w:cs="宋体"/>
          <w:sz w:val="21"/>
          <w:szCs w:val="21"/>
        </w:rPr>
      </w:pPr>
      <w:r>
        <w:rPr>
          <w:rFonts w:hint="eastAsia" w:hAnsi="宋体" w:cs="宋体"/>
          <w:sz w:val="21"/>
          <w:szCs w:val="21"/>
        </w:rPr>
        <w:t>（4）严格按照报经甲方确认的本项目《审计实施方案》要求，组织人员按规范要求实施项目审计， 严格执行其内部质量控制制度，对审计中取得的证据资料、得出的审计结论严格进行层级复核，向甲方出具真实、完整、合法的审计报告，并承担相应法律责任。审计报告中的所有审计结论必须有审计取证单和审计工作底稿作为支撑。</w:t>
      </w:r>
    </w:p>
    <w:p>
      <w:pPr>
        <w:pStyle w:val="29"/>
        <w:numPr>
          <w:ilvl w:val="255"/>
          <w:numId w:val="0"/>
        </w:numPr>
        <w:spacing w:line="360" w:lineRule="auto"/>
        <w:ind w:firstLine="404" w:firstLineChars="200"/>
        <w:rPr>
          <w:rFonts w:hAnsi="宋体" w:cs="宋体"/>
          <w:sz w:val="21"/>
        </w:rPr>
      </w:pPr>
      <w:r>
        <w:rPr>
          <w:rFonts w:hint="eastAsia" w:hAnsi="宋体" w:cs="宋体"/>
          <w:spacing w:val="-4"/>
          <w:sz w:val="21"/>
        </w:rPr>
        <w:t>（</w:t>
      </w:r>
      <w:r>
        <w:rPr>
          <w:rFonts w:hint="eastAsia" w:hAnsi="宋体" w:cs="宋体"/>
          <w:spacing w:val="-4"/>
          <w:sz w:val="21"/>
          <w:lang w:val="en-US"/>
        </w:rPr>
        <w:t>5</w:t>
      </w:r>
      <w:r>
        <w:rPr>
          <w:rFonts w:hint="eastAsia" w:hAnsi="宋体" w:cs="宋体"/>
          <w:spacing w:val="-4"/>
          <w:sz w:val="21"/>
        </w:rPr>
        <w:t>）实施项目审计过程中，发现审计单位或相关单位存在重大违法违规问题的，应当及时向甲方报告。</w:t>
      </w:r>
    </w:p>
    <w:p>
      <w:pPr>
        <w:pStyle w:val="29"/>
        <w:numPr>
          <w:ilvl w:val="255"/>
          <w:numId w:val="0"/>
        </w:numPr>
        <w:spacing w:line="360" w:lineRule="auto"/>
        <w:ind w:firstLine="404" w:firstLineChars="200"/>
        <w:rPr>
          <w:rFonts w:hAnsi="宋体" w:cs="宋体"/>
          <w:sz w:val="21"/>
        </w:rPr>
      </w:pPr>
      <w:r>
        <w:rPr>
          <w:rFonts w:hint="eastAsia" w:hAnsi="宋体" w:cs="宋体"/>
          <w:spacing w:val="-4"/>
          <w:sz w:val="21"/>
        </w:rPr>
        <w:t>（</w:t>
      </w:r>
      <w:r>
        <w:rPr>
          <w:rFonts w:hint="eastAsia" w:hAnsi="宋体" w:cs="宋体"/>
          <w:spacing w:val="-4"/>
          <w:sz w:val="21"/>
          <w:lang w:val="en-US"/>
        </w:rPr>
        <w:t>6</w:t>
      </w:r>
      <w:r>
        <w:rPr>
          <w:rFonts w:hint="eastAsia" w:hAnsi="宋体" w:cs="宋体"/>
          <w:spacing w:val="-4"/>
          <w:sz w:val="21"/>
        </w:rPr>
        <w:t>）对甲方提出的审计复核意见应通过书面形式逐项答复，逐项明确是否采纳审计复核意见，采纳审计复核意见应作出相应调整，不采纳审计复核意见应书面说明理由。</w:t>
      </w:r>
    </w:p>
    <w:p>
      <w:pPr>
        <w:pStyle w:val="29"/>
        <w:numPr>
          <w:ilvl w:val="255"/>
          <w:numId w:val="0"/>
        </w:numPr>
        <w:spacing w:line="360" w:lineRule="auto"/>
        <w:ind w:firstLine="404" w:firstLineChars="200"/>
        <w:rPr>
          <w:rFonts w:hAnsi="宋体" w:cs="宋体"/>
          <w:sz w:val="21"/>
          <w:szCs w:val="21"/>
        </w:rPr>
      </w:pPr>
      <w:r>
        <w:rPr>
          <w:rFonts w:hint="eastAsia" w:hAnsi="宋体" w:cs="宋体"/>
          <w:spacing w:val="-4"/>
          <w:sz w:val="21"/>
        </w:rPr>
        <w:t>（</w:t>
      </w:r>
      <w:r>
        <w:rPr>
          <w:rFonts w:hint="eastAsia" w:hAnsi="宋体" w:cs="宋体"/>
          <w:spacing w:val="-4"/>
          <w:sz w:val="21"/>
          <w:lang w:val="en-US"/>
        </w:rPr>
        <w:t>7</w:t>
      </w:r>
      <w:r>
        <w:rPr>
          <w:rFonts w:hint="eastAsia" w:hAnsi="宋体" w:cs="宋体"/>
          <w:spacing w:val="-4"/>
          <w:sz w:val="21"/>
        </w:rPr>
        <w:t>）严格遵守国家保密规定，审计报告及相关信息不向外泄露，不得利用审计获取的信息牟</w:t>
      </w:r>
      <w:r>
        <w:rPr>
          <w:rFonts w:hint="eastAsia" w:hAnsi="宋体" w:cs="宋体"/>
          <w:sz w:val="21"/>
          <w:szCs w:val="21"/>
        </w:rPr>
        <w:t>取不正当利益或用于其他与审计无关的任何事项。</w:t>
      </w:r>
    </w:p>
    <w:p>
      <w:pPr>
        <w:pStyle w:val="29"/>
        <w:numPr>
          <w:ilvl w:val="255"/>
          <w:numId w:val="0"/>
        </w:numPr>
        <w:spacing w:line="360" w:lineRule="auto"/>
        <w:ind w:left="426"/>
        <w:rPr>
          <w:rFonts w:hAnsi="宋体" w:cs="宋体"/>
          <w:sz w:val="21"/>
        </w:rPr>
      </w:pPr>
      <w:r>
        <w:rPr>
          <w:rFonts w:hint="eastAsia" w:hAnsi="宋体" w:cs="宋体"/>
          <w:sz w:val="21"/>
        </w:rPr>
        <w:t>（</w:t>
      </w:r>
      <w:r>
        <w:rPr>
          <w:rFonts w:hint="eastAsia" w:hAnsi="宋体" w:cs="宋体"/>
          <w:sz w:val="21"/>
          <w:lang w:val="en-US"/>
        </w:rPr>
        <w:t>8</w:t>
      </w:r>
      <w:r>
        <w:rPr>
          <w:rFonts w:hint="eastAsia" w:hAnsi="宋体" w:cs="宋体"/>
          <w:sz w:val="21"/>
        </w:rPr>
        <w:t>）办理审计事项中，交通、食宿等费用自理，不得违规向被审计单位收取费用。</w:t>
      </w:r>
    </w:p>
    <w:p>
      <w:pPr>
        <w:pStyle w:val="29"/>
        <w:numPr>
          <w:ilvl w:val="255"/>
          <w:numId w:val="0"/>
        </w:numPr>
        <w:spacing w:line="360" w:lineRule="auto"/>
        <w:ind w:firstLine="408" w:firstLineChars="200"/>
        <w:rPr>
          <w:rFonts w:hAnsi="宋体" w:cs="宋体"/>
          <w:sz w:val="21"/>
        </w:rPr>
      </w:pPr>
      <w:r>
        <w:rPr>
          <w:rFonts w:hint="eastAsia" w:hAnsi="宋体" w:cs="宋体"/>
          <w:spacing w:val="-3"/>
          <w:sz w:val="21"/>
        </w:rPr>
        <w:t>（</w:t>
      </w:r>
      <w:r>
        <w:rPr>
          <w:rFonts w:hint="eastAsia" w:hAnsi="宋体" w:cs="宋体"/>
          <w:spacing w:val="-3"/>
          <w:sz w:val="21"/>
          <w:lang w:val="en-US"/>
        </w:rPr>
        <w:t>9</w:t>
      </w:r>
      <w:r>
        <w:rPr>
          <w:rFonts w:hint="eastAsia" w:hAnsi="宋体" w:cs="宋体"/>
          <w:spacing w:val="-3"/>
          <w:sz w:val="21"/>
        </w:rPr>
        <w:t>）</w:t>
      </w:r>
      <w:r>
        <w:rPr>
          <w:rFonts w:hint="eastAsia" w:hAnsi="宋体" w:cs="宋体"/>
          <w:sz w:val="21"/>
        </w:rPr>
        <w:t>完成项目后，应在甲方规定的期限内，提交审计报告 6 份。并在审计报告审核合格后15 天内，如实、完整地将审计形成的全部纸质原件和电子资料整理移交甲方，并清除不应保留的电子信息。</w:t>
      </w:r>
    </w:p>
    <w:p>
      <w:pPr>
        <w:pStyle w:val="5"/>
        <w:ind w:firstLine="426" w:firstLineChars="202"/>
        <w:rPr>
          <w:rFonts w:hAnsi="宋体" w:cs="宋体"/>
          <w:sz w:val="21"/>
        </w:rPr>
      </w:pPr>
      <w:r>
        <w:rPr>
          <w:rFonts w:hint="eastAsia" w:hAnsi="宋体" w:cs="宋体"/>
          <w:sz w:val="21"/>
        </w:rPr>
        <w:t>七、违约责任</w:t>
      </w:r>
    </w:p>
    <w:p>
      <w:pPr>
        <w:spacing w:line="360" w:lineRule="auto"/>
        <w:ind w:right="84" w:firstLine="424" w:firstLineChars="202"/>
        <w:rPr>
          <w:rFonts w:hAnsi="宋体" w:cs="宋体"/>
          <w:sz w:val="21"/>
          <w:szCs w:val="21"/>
        </w:rPr>
      </w:pPr>
      <w:r>
        <w:rPr>
          <w:rFonts w:hint="eastAsia" w:hAnsi="宋体" w:cs="宋体"/>
          <w:sz w:val="21"/>
          <w:szCs w:val="21"/>
        </w:rPr>
        <w:t>除本合同另有约定外，违反本合同约定，或无故终止合同视为违约。违约方应按《中华人民</w:t>
      </w:r>
      <w:r>
        <w:rPr>
          <w:rFonts w:hint="eastAsia" w:hAnsi="宋体" w:cs="宋体"/>
          <w:spacing w:val="-9"/>
          <w:sz w:val="21"/>
          <w:szCs w:val="21"/>
        </w:rPr>
        <w:t>共和国民法典》有关规定， 承担违约责任。在合同有效期内，若无不可抗拒因素发生，甲乙</w:t>
      </w:r>
      <w:r>
        <w:rPr>
          <w:rFonts w:hint="eastAsia" w:hAnsi="宋体" w:cs="宋体"/>
          <w:spacing w:val="-9"/>
          <w:sz w:val="21"/>
          <w:szCs w:val="21"/>
          <w:lang w:val="en-US"/>
        </w:rPr>
        <w:t>双</w:t>
      </w:r>
      <w:r>
        <w:rPr>
          <w:rFonts w:hint="eastAsia" w:hAnsi="宋体" w:cs="宋体"/>
          <w:spacing w:val="-9"/>
          <w:sz w:val="21"/>
          <w:szCs w:val="21"/>
        </w:rPr>
        <w:t>方中的任何一方都不得无故终止合同。无故终止合同方视为违约。</w:t>
      </w:r>
    </w:p>
    <w:p>
      <w:pPr>
        <w:spacing w:line="360" w:lineRule="auto"/>
        <w:ind w:firstLine="426" w:firstLineChars="202"/>
        <w:rPr>
          <w:rFonts w:hAnsi="宋体" w:cs="宋体"/>
          <w:b/>
          <w:bCs/>
          <w:sz w:val="21"/>
          <w:szCs w:val="21"/>
        </w:rPr>
      </w:pPr>
      <w:r>
        <w:rPr>
          <w:rFonts w:hint="eastAsia" w:hAnsi="宋体" w:cs="宋体"/>
          <w:b/>
          <w:bCs/>
          <w:sz w:val="21"/>
          <w:szCs w:val="21"/>
        </w:rPr>
        <w:t>（一）甲方违约责任</w:t>
      </w:r>
    </w:p>
    <w:p>
      <w:pPr>
        <w:spacing w:line="360" w:lineRule="auto"/>
        <w:ind w:firstLine="424" w:firstLineChars="202"/>
        <w:rPr>
          <w:rFonts w:hAnsi="宋体" w:cs="宋体"/>
          <w:sz w:val="21"/>
          <w:szCs w:val="21"/>
        </w:rPr>
      </w:pPr>
      <w:r>
        <w:rPr>
          <w:rFonts w:hint="eastAsia" w:hAnsi="宋体" w:cs="宋体"/>
          <w:sz w:val="21"/>
          <w:szCs w:val="21"/>
        </w:rPr>
        <w:t>甲方出现严重不履行合同第六条第（一）款所列合同义务的情形，视为违约并承担违约责任。</w:t>
      </w:r>
    </w:p>
    <w:p>
      <w:pPr>
        <w:spacing w:line="360" w:lineRule="auto"/>
        <w:ind w:firstLine="426" w:firstLineChars="202"/>
        <w:rPr>
          <w:rFonts w:hAnsi="宋体" w:cs="宋体"/>
          <w:b/>
          <w:bCs/>
          <w:sz w:val="21"/>
          <w:szCs w:val="21"/>
        </w:rPr>
      </w:pPr>
      <w:r>
        <w:rPr>
          <w:rFonts w:hint="eastAsia" w:hAnsi="宋体" w:cs="宋体"/>
          <w:b/>
          <w:bCs/>
          <w:sz w:val="21"/>
          <w:szCs w:val="21"/>
        </w:rPr>
        <w:t>（二）乙方违约责任</w:t>
      </w:r>
    </w:p>
    <w:p>
      <w:pPr>
        <w:spacing w:line="360" w:lineRule="auto"/>
        <w:ind w:firstLine="426" w:firstLineChars="202"/>
        <w:rPr>
          <w:rFonts w:hAnsi="宋体" w:cs="宋体"/>
          <w:sz w:val="21"/>
          <w:szCs w:val="21"/>
        </w:rPr>
      </w:pPr>
      <w:r>
        <w:rPr>
          <w:rFonts w:hint="eastAsia" w:hAnsi="宋体" w:cs="宋体"/>
          <w:b/>
          <w:bCs/>
          <w:color w:val="0D0D0D" w:themeColor="text1" w:themeTint="F2"/>
          <w:sz w:val="21"/>
          <w:szCs w:val="21"/>
          <w14:textFill>
            <w14:solidFill>
              <w14:schemeClr w14:val="tx1">
                <w14:lumMod w14:val="95000"/>
                <w14:lumOff w14:val="5000"/>
              </w14:schemeClr>
            </w14:solidFill>
          </w14:textFill>
        </w:rPr>
        <w:t>1.费用扣减。</w:t>
      </w:r>
      <w:r>
        <w:rPr>
          <w:rFonts w:hint="eastAsia" w:hAnsi="宋体" w:cs="宋体"/>
          <w:sz w:val="21"/>
          <w:szCs w:val="21"/>
        </w:rPr>
        <w:t>乙方在实施委托审计项目时有下列情形的，应当相应扣减审计费用：</w:t>
      </w:r>
    </w:p>
    <w:p>
      <w:pPr>
        <w:pStyle w:val="29"/>
        <w:numPr>
          <w:ilvl w:val="255"/>
          <w:numId w:val="0"/>
        </w:numPr>
        <w:spacing w:line="360" w:lineRule="auto"/>
        <w:ind w:left="426"/>
        <w:rPr>
          <w:rFonts w:hAnsi="宋体" w:cs="宋体"/>
          <w:sz w:val="21"/>
        </w:rPr>
      </w:pPr>
      <w:r>
        <w:rPr>
          <w:rFonts w:hint="eastAsia" w:hAnsi="宋体" w:cs="宋体"/>
          <w:sz w:val="21"/>
        </w:rPr>
        <w:t>（</w:t>
      </w:r>
      <w:r>
        <w:rPr>
          <w:rFonts w:hint="eastAsia" w:hAnsi="宋体" w:cs="宋体"/>
          <w:sz w:val="21"/>
          <w:lang w:val="en-US"/>
        </w:rPr>
        <w:t>1</w:t>
      </w:r>
      <w:r>
        <w:rPr>
          <w:rFonts w:hint="eastAsia" w:hAnsi="宋体" w:cs="宋体"/>
          <w:sz w:val="21"/>
        </w:rPr>
        <w:t>）利用实施审计获取信息牟取不正当利益的，按获取利益的两倍进行扣减；</w:t>
      </w:r>
    </w:p>
    <w:p>
      <w:pPr>
        <w:pStyle w:val="29"/>
        <w:numPr>
          <w:ilvl w:val="255"/>
          <w:numId w:val="0"/>
        </w:numPr>
        <w:spacing w:line="360" w:lineRule="auto"/>
        <w:ind w:left="426"/>
        <w:rPr>
          <w:rFonts w:hAnsi="宋体" w:cs="宋体"/>
          <w:sz w:val="21"/>
        </w:rPr>
      </w:pPr>
      <w:r>
        <w:rPr>
          <w:rFonts w:hint="eastAsia" w:hAnsi="宋体" w:cs="宋体"/>
          <w:sz w:val="21"/>
        </w:rPr>
        <w:t>（</w:t>
      </w:r>
      <w:r>
        <w:rPr>
          <w:rFonts w:hint="eastAsia" w:hAnsi="宋体" w:cs="宋体"/>
          <w:sz w:val="21"/>
          <w:lang w:val="en-US"/>
        </w:rPr>
        <w:t>2</w:t>
      </w:r>
      <w:r>
        <w:rPr>
          <w:rFonts w:hint="eastAsia" w:hAnsi="宋体" w:cs="宋体"/>
          <w:sz w:val="21"/>
        </w:rPr>
        <w:t>）违规向被审计单位收取其他费用的，按违规收取金额的两倍进行扣减；</w:t>
      </w:r>
    </w:p>
    <w:p>
      <w:pPr>
        <w:pStyle w:val="29"/>
        <w:numPr>
          <w:ilvl w:val="255"/>
          <w:numId w:val="0"/>
        </w:numPr>
        <w:spacing w:line="360" w:lineRule="auto"/>
        <w:ind w:firstLine="420" w:firstLineChars="200"/>
        <w:rPr>
          <w:rFonts w:hAnsi="宋体" w:cs="宋体"/>
          <w:sz w:val="21"/>
        </w:rPr>
      </w:pPr>
      <w:r>
        <w:rPr>
          <w:rFonts w:hint="eastAsia" w:hAnsi="宋体" w:cs="宋体"/>
          <w:sz w:val="21"/>
        </w:rPr>
        <w:t>（</w:t>
      </w:r>
      <w:r>
        <w:rPr>
          <w:rFonts w:hint="eastAsia" w:hAnsi="宋体" w:cs="宋体"/>
          <w:sz w:val="21"/>
          <w:lang w:val="en-US"/>
        </w:rPr>
        <w:t>3</w:t>
      </w:r>
      <w:r>
        <w:rPr>
          <w:rFonts w:hint="eastAsia" w:hAnsi="宋体" w:cs="宋体"/>
          <w:sz w:val="21"/>
        </w:rPr>
        <w:t>）违反审计相关法律规定、行业准则或工作纪律获取利益的，按实际获取利益的两倍进行扣减；</w:t>
      </w:r>
    </w:p>
    <w:p>
      <w:pPr>
        <w:pStyle w:val="29"/>
        <w:numPr>
          <w:ilvl w:val="255"/>
          <w:numId w:val="0"/>
        </w:numPr>
        <w:spacing w:line="360" w:lineRule="auto"/>
        <w:ind w:firstLine="420" w:firstLineChars="200"/>
        <w:rPr>
          <w:rFonts w:hAnsi="宋体" w:cs="宋体"/>
          <w:sz w:val="21"/>
        </w:rPr>
      </w:pPr>
      <w:r>
        <w:rPr>
          <w:rFonts w:hint="eastAsia" w:hAnsi="宋体" w:cs="宋体"/>
          <w:sz w:val="21"/>
        </w:rPr>
        <w:t>（</w:t>
      </w:r>
      <w:r>
        <w:rPr>
          <w:rFonts w:hint="eastAsia" w:hAnsi="宋体" w:cs="宋体"/>
          <w:sz w:val="21"/>
          <w:lang w:val="en-US"/>
        </w:rPr>
        <w:t>4</w:t>
      </w:r>
      <w:r>
        <w:rPr>
          <w:rFonts w:hint="eastAsia" w:hAnsi="宋体" w:cs="宋体"/>
          <w:sz w:val="21"/>
        </w:rPr>
        <w:t>）无故延迟出具审计报告的，每延迟 10 天，扣减应付审计费的 10%，不足 10 天的部分按对应天数等比例扣减，以此类推，扣完为止。</w:t>
      </w:r>
    </w:p>
    <w:p>
      <w:pPr>
        <w:pStyle w:val="29"/>
        <w:numPr>
          <w:ilvl w:val="255"/>
          <w:numId w:val="0"/>
        </w:numPr>
        <w:spacing w:line="360" w:lineRule="auto"/>
        <w:ind w:firstLine="420" w:firstLineChars="200"/>
        <w:rPr>
          <w:rFonts w:hAnsi="宋体" w:cs="宋体"/>
          <w:sz w:val="21"/>
        </w:rPr>
      </w:pPr>
      <w:r>
        <w:rPr>
          <w:rFonts w:hint="eastAsia" w:hAnsi="宋体" w:cs="宋体"/>
          <w:sz w:val="21"/>
        </w:rPr>
        <w:t>（</w:t>
      </w:r>
      <w:r>
        <w:rPr>
          <w:rFonts w:hint="eastAsia" w:hAnsi="宋体" w:cs="宋体"/>
          <w:sz w:val="21"/>
          <w:lang w:val="en-US"/>
        </w:rPr>
        <w:t>5</w:t>
      </w:r>
      <w:r>
        <w:rPr>
          <w:rFonts w:hint="eastAsia" w:hAnsi="宋体" w:cs="宋体"/>
          <w:sz w:val="21"/>
        </w:rPr>
        <w:t>）违反《审计工作质量及保密承诺书》和《审计廉洁承诺书》的，扣减应付审计费的</w:t>
      </w:r>
      <w:r>
        <w:rPr>
          <w:rFonts w:hint="eastAsia" w:hAnsi="宋体" w:cs="宋体"/>
          <w:sz w:val="21"/>
          <w:lang w:val="en-US"/>
        </w:rPr>
        <w:t>5</w:t>
      </w:r>
      <w:r>
        <w:rPr>
          <w:rFonts w:hint="eastAsia" w:hAnsi="宋体" w:cs="宋体"/>
          <w:sz w:val="21"/>
        </w:rPr>
        <w:t>0%。</w:t>
      </w:r>
    </w:p>
    <w:p>
      <w:pPr>
        <w:tabs>
          <w:tab w:val="left" w:pos="965"/>
        </w:tabs>
        <w:spacing w:line="360" w:lineRule="auto"/>
        <w:ind w:right="664" w:firstLine="422" w:firstLineChars="200"/>
        <w:jc w:val="both"/>
        <w:rPr>
          <w:rFonts w:hAnsi="宋体" w:cs="宋体"/>
          <w:sz w:val="21"/>
        </w:rPr>
      </w:pPr>
      <w:r>
        <w:rPr>
          <w:rFonts w:hint="eastAsia" w:hAnsi="宋体" w:cs="宋体"/>
          <w:b/>
          <w:sz w:val="21"/>
        </w:rPr>
        <w:t>2.取消资格。</w:t>
      </w:r>
      <w:r>
        <w:rPr>
          <w:rFonts w:hint="eastAsia" w:hAnsi="宋体" w:cs="宋体"/>
          <w:sz w:val="21"/>
        </w:rPr>
        <w:t>乙方在实施委托审计项目时有下列情形的，甲方有权终止其委托项目的审计， 并要求乙方返还已支付的费用：</w:t>
      </w:r>
    </w:p>
    <w:p>
      <w:pPr>
        <w:spacing w:line="360" w:lineRule="auto"/>
        <w:ind w:firstLine="424" w:firstLineChars="202"/>
        <w:rPr>
          <w:rFonts w:hAnsi="宋体" w:cs="宋体"/>
          <w:sz w:val="17"/>
          <w:szCs w:val="21"/>
        </w:rPr>
      </w:pPr>
      <w:r>
        <w:rPr>
          <w:rFonts w:hint="eastAsia" w:hAnsi="宋体" w:cs="宋体"/>
          <w:sz w:val="21"/>
          <w:szCs w:val="21"/>
        </w:rPr>
        <w:t>①因滥用职权、徇私舞弊、索贿受贿出具虚假审计结果的；</w:t>
      </w:r>
    </w:p>
    <w:p>
      <w:pPr>
        <w:spacing w:line="360" w:lineRule="auto"/>
        <w:ind w:firstLine="424" w:firstLineChars="202"/>
        <w:rPr>
          <w:rFonts w:hAnsi="宋体" w:cs="宋体"/>
          <w:sz w:val="18"/>
          <w:szCs w:val="21"/>
        </w:rPr>
      </w:pPr>
      <w:r>
        <w:rPr>
          <w:rFonts w:hint="eastAsia" w:hAnsi="宋体" w:cs="宋体"/>
          <w:sz w:val="21"/>
          <w:szCs w:val="21"/>
        </w:rPr>
        <w:t>②因重大过失、业务水平低劣出具不真实审计报告，并造成重大经济损失的；</w:t>
      </w:r>
    </w:p>
    <w:p>
      <w:pPr>
        <w:spacing w:line="360" w:lineRule="auto"/>
        <w:ind w:firstLine="424" w:firstLineChars="202"/>
        <w:rPr>
          <w:rFonts w:hAnsi="宋体" w:cs="宋体"/>
          <w:sz w:val="17"/>
          <w:szCs w:val="21"/>
        </w:rPr>
      </w:pPr>
      <w:r>
        <w:rPr>
          <w:rFonts w:hint="eastAsia" w:hAnsi="宋体" w:cs="宋体"/>
          <w:sz w:val="21"/>
          <w:szCs w:val="21"/>
        </w:rPr>
        <w:t>③将受托审计项目转包或分包给其他单位或个人的；</w:t>
      </w:r>
    </w:p>
    <w:p>
      <w:pPr>
        <w:spacing w:line="360" w:lineRule="auto"/>
        <w:ind w:firstLine="424" w:firstLineChars="202"/>
        <w:rPr>
          <w:rFonts w:hAnsi="宋体" w:cs="宋体"/>
          <w:sz w:val="18"/>
          <w:szCs w:val="21"/>
        </w:rPr>
      </w:pPr>
      <w:r>
        <w:rPr>
          <w:rFonts w:hint="eastAsia" w:hAnsi="宋体" w:cs="宋体"/>
          <w:sz w:val="21"/>
          <w:szCs w:val="21"/>
        </w:rPr>
        <w:t>④拒绝接受统一安排和管理的。</w:t>
      </w:r>
    </w:p>
    <w:p>
      <w:pPr>
        <w:spacing w:line="360" w:lineRule="auto"/>
        <w:ind w:firstLine="426" w:firstLineChars="202"/>
        <w:rPr>
          <w:rFonts w:hAnsi="宋体" w:cs="宋体"/>
          <w:b/>
          <w:bCs/>
          <w:sz w:val="21"/>
          <w:szCs w:val="21"/>
        </w:rPr>
      </w:pPr>
      <w:r>
        <w:rPr>
          <w:rFonts w:hint="eastAsia" w:hAnsi="宋体" w:cs="宋体"/>
          <w:b/>
          <w:bCs/>
          <w:sz w:val="21"/>
          <w:szCs w:val="21"/>
        </w:rPr>
        <w:t>（四）其他责任</w:t>
      </w:r>
    </w:p>
    <w:p>
      <w:pPr>
        <w:numPr>
          <w:ilvl w:val="0"/>
          <w:numId w:val="14"/>
        </w:numPr>
        <w:tabs>
          <w:tab w:val="left" w:pos="963"/>
        </w:tabs>
        <w:spacing w:line="360" w:lineRule="auto"/>
        <w:ind w:right="84" w:firstLine="420" w:firstLineChars="200"/>
        <w:rPr>
          <w:rFonts w:hAnsi="宋体" w:cs="宋体"/>
          <w:sz w:val="21"/>
        </w:rPr>
      </w:pPr>
      <w:r>
        <w:rPr>
          <w:rFonts w:hint="eastAsia" w:hAnsi="宋体" w:cs="宋体"/>
          <w:sz w:val="21"/>
        </w:rPr>
        <w:t>乙方因第七条第（二）款约定的情形，或者其他违法违规行为，造成甲方损失或被审计单位、相关单位及个人损失的，应当予以赔偿，并应承担守约方因实现债权而产生的费用（包括但不限于：律师费、差旅费、诉讼费、保全费、执行费等）。</w:t>
      </w:r>
    </w:p>
    <w:p>
      <w:pPr>
        <w:numPr>
          <w:ilvl w:val="0"/>
          <w:numId w:val="14"/>
        </w:numPr>
        <w:tabs>
          <w:tab w:val="left" w:pos="963"/>
        </w:tabs>
        <w:spacing w:line="360" w:lineRule="auto"/>
        <w:ind w:right="84" w:firstLine="420" w:firstLineChars="200"/>
        <w:rPr>
          <w:rFonts w:hAnsi="宋体" w:cs="宋体"/>
          <w:sz w:val="21"/>
        </w:rPr>
      </w:pPr>
      <w:r>
        <w:rPr>
          <w:rFonts w:hint="eastAsia" w:hAnsi="宋体" w:cs="宋体"/>
          <w:sz w:val="21"/>
        </w:rPr>
        <w:t>乙方人员出现滥用职权、徇私舞弊、索贿受贿等违法违规行为，构成犯罪的，依法移送司法机构追究刑事责任。</w:t>
      </w:r>
    </w:p>
    <w:p>
      <w:pPr>
        <w:numPr>
          <w:ilvl w:val="0"/>
          <w:numId w:val="14"/>
        </w:numPr>
        <w:tabs>
          <w:tab w:val="left" w:pos="963"/>
        </w:tabs>
        <w:spacing w:line="360" w:lineRule="auto"/>
        <w:ind w:right="84" w:firstLine="420" w:firstLineChars="200"/>
        <w:rPr>
          <w:rFonts w:hAnsi="宋体" w:cs="宋体"/>
          <w:sz w:val="21"/>
        </w:rPr>
      </w:pPr>
      <w:r>
        <w:rPr>
          <w:rFonts w:hint="eastAsia" w:hAnsi="宋体" w:cs="宋体"/>
          <w:sz w:val="21"/>
        </w:rPr>
        <w:t>乙方出现包括第六条第（二）款所列情形在内的违法违规、严重不履行合同义务的，应赔偿由此造成甲方或丙方的全部损失，同时甲方有权根据问题性质和情节轻重，向相关行政主管部门报告。</w:t>
      </w:r>
    </w:p>
    <w:p>
      <w:pPr>
        <w:numPr>
          <w:ilvl w:val="0"/>
          <w:numId w:val="14"/>
        </w:numPr>
        <w:tabs>
          <w:tab w:val="left" w:pos="963"/>
        </w:tabs>
        <w:spacing w:line="360" w:lineRule="auto"/>
        <w:ind w:right="84" w:firstLine="420" w:firstLineChars="200"/>
        <w:rPr>
          <w:rFonts w:hAnsi="宋体" w:cs="宋体"/>
          <w:sz w:val="21"/>
        </w:rPr>
      </w:pPr>
      <w:r>
        <w:rPr>
          <w:rFonts w:hint="eastAsia" w:hAnsi="宋体" w:cs="宋体"/>
          <w:sz w:val="21"/>
        </w:rPr>
        <w:t>甲方对乙方出具的报告进行复核不免除乙方对其所出具报告内容的合法性、真实性、准确性责任，如因此造成甲方或丙方相应损失的，乙方应予以赔偿。</w:t>
      </w:r>
    </w:p>
    <w:p>
      <w:pPr>
        <w:pStyle w:val="5"/>
        <w:ind w:firstLine="426" w:firstLineChars="202"/>
        <w:rPr>
          <w:rFonts w:hAnsi="宋体" w:cs="宋体"/>
          <w:sz w:val="21"/>
          <w:szCs w:val="21"/>
        </w:rPr>
      </w:pPr>
      <w:r>
        <w:rPr>
          <w:rFonts w:hint="eastAsia" w:hAnsi="宋体" w:cs="宋体"/>
          <w:sz w:val="21"/>
          <w:szCs w:val="21"/>
        </w:rPr>
        <w:t>八、本合同在履行过程中发生的争议，由</w:t>
      </w:r>
      <w:r>
        <w:rPr>
          <w:rFonts w:hint="eastAsia" w:hAnsi="宋体" w:cs="宋体"/>
          <w:sz w:val="21"/>
          <w:szCs w:val="21"/>
          <w:lang w:val="en-US"/>
        </w:rPr>
        <w:t>双</w:t>
      </w:r>
      <w:r>
        <w:rPr>
          <w:rFonts w:hint="eastAsia" w:hAnsi="宋体" w:cs="宋体"/>
          <w:sz w:val="21"/>
          <w:szCs w:val="21"/>
        </w:rPr>
        <w:t>方当事人协商解决，协商不成的按下列第 2 种方式解决。</w:t>
      </w:r>
    </w:p>
    <w:p>
      <w:pPr>
        <w:spacing w:line="360" w:lineRule="auto"/>
        <w:ind w:right="671" w:firstLine="424" w:firstLineChars="202"/>
        <w:rPr>
          <w:rFonts w:hAnsi="宋体" w:cs="宋体"/>
          <w:sz w:val="21"/>
          <w:szCs w:val="21"/>
        </w:rPr>
      </w:pPr>
      <w:r>
        <w:rPr>
          <w:rFonts w:hint="eastAsia" w:hAnsi="宋体" w:cs="宋体"/>
          <w:sz w:val="21"/>
          <w:szCs w:val="21"/>
        </w:rPr>
        <w:t>1.提交成都仲裁委员会仲裁；</w:t>
      </w:r>
    </w:p>
    <w:p>
      <w:pPr>
        <w:spacing w:line="360" w:lineRule="auto"/>
        <w:ind w:right="671" w:firstLine="424" w:firstLineChars="202"/>
        <w:rPr>
          <w:rFonts w:hAnsi="宋体" w:cs="宋体"/>
          <w:sz w:val="21"/>
          <w:szCs w:val="21"/>
        </w:rPr>
      </w:pPr>
      <w:r>
        <w:rPr>
          <w:rFonts w:hint="eastAsia" w:hAnsi="宋体" w:cs="宋体"/>
          <w:sz w:val="21"/>
          <w:szCs w:val="21"/>
        </w:rPr>
        <w:t>2.依法向</w:t>
      </w:r>
      <w:r>
        <w:rPr>
          <w:rFonts w:hint="eastAsia" w:hAnsi="宋体" w:cs="宋体"/>
          <w:sz w:val="21"/>
          <w:szCs w:val="21"/>
          <w:lang w:val="en-US"/>
        </w:rPr>
        <w:t>甲方1所在地人</w:t>
      </w:r>
      <w:r>
        <w:rPr>
          <w:rFonts w:hint="eastAsia" w:hAnsi="宋体" w:cs="宋体"/>
          <w:sz w:val="21"/>
          <w:szCs w:val="21"/>
        </w:rPr>
        <w:t>民法院起诉。</w:t>
      </w:r>
    </w:p>
    <w:p>
      <w:pPr>
        <w:pStyle w:val="5"/>
        <w:ind w:firstLine="426" w:firstLineChars="202"/>
        <w:rPr>
          <w:rFonts w:hAnsi="宋体" w:cs="宋体"/>
          <w:sz w:val="21"/>
          <w:szCs w:val="21"/>
        </w:rPr>
      </w:pPr>
      <w:r>
        <w:rPr>
          <w:rFonts w:hint="eastAsia" w:hAnsi="宋体" w:cs="宋体"/>
          <w:sz w:val="21"/>
          <w:szCs w:val="21"/>
        </w:rPr>
        <w:t>九、严格遵守审计纪律，切实履行好有关廉政规定。</w:t>
      </w:r>
    </w:p>
    <w:p>
      <w:pPr>
        <w:spacing w:line="360" w:lineRule="auto"/>
        <w:ind w:right="84" w:firstLine="424" w:firstLineChars="202"/>
        <w:rPr>
          <w:rFonts w:hAnsi="宋体" w:cs="宋体"/>
          <w:sz w:val="21"/>
          <w:szCs w:val="21"/>
        </w:rPr>
      </w:pPr>
      <w:r>
        <w:rPr>
          <w:rFonts w:hint="eastAsia" w:hAnsi="宋体" w:cs="宋体"/>
          <w:sz w:val="21"/>
          <w:szCs w:val="21"/>
        </w:rPr>
        <w:t>甲、乙</w:t>
      </w:r>
      <w:r>
        <w:rPr>
          <w:rFonts w:hint="eastAsia" w:hAnsi="宋体" w:cs="宋体"/>
          <w:sz w:val="21"/>
          <w:szCs w:val="21"/>
          <w:lang w:val="en-US"/>
        </w:rPr>
        <w:t>双</w:t>
      </w:r>
      <w:r>
        <w:rPr>
          <w:rFonts w:hint="eastAsia" w:hAnsi="宋体" w:cs="宋体"/>
          <w:sz w:val="21"/>
          <w:szCs w:val="21"/>
        </w:rPr>
        <w:t>方人员应禁止赠送、贿赂、索要行为发生，如遇到某方发生，其余方当事人应立即报告领导和有管辖权的纪检、监察、检察机关。对不主动报告情况的有关人员，一经查处视情节轻重给予党纪、政纪处分直至追究法律责任。</w:t>
      </w:r>
    </w:p>
    <w:p>
      <w:pPr>
        <w:pStyle w:val="5"/>
        <w:ind w:firstLine="426" w:firstLineChars="202"/>
        <w:rPr>
          <w:rFonts w:hAnsi="宋体" w:cs="宋体"/>
          <w:sz w:val="21"/>
          <w:szCs w:val="21"/>
        </w:rPr>
      </w:pPr>
      <w:r>
        <w:rPr>
          <w:rFonts w:hint="eastAsia" w:hAnsi="宋体" w:cs="宋体"/>
          <w:sz w:val="21"/>
          <w:szCs w:val="21"/>
        </w:rPr>
        <w:t>十、其他未尽事宜以现行有关法律法规的有关规定为准。</w:t>
      </w:r>
    </w:p>
    <w:p>
      <w:pPr>
        <w:pStyle w:val="5"/>
        <w:ind w:firstLine="426" w:firstLineChars="202"/>
        <w:rPr>
          <w:rFonts w:hAnsi="宋体" w:cs="宋体"/>
          <w:sz w:val="21"/>
          <w:szCs w:val="21"/>
        </w:rPr>
      </w:pPr>
      <w:r>
        <w:rPr>
          <w:rFonts w:hint="eastAsia" w:hAnsi="宋体" w:cs="宋体"/>
          <w:sz w:val="21"/>
          <w:szCs w:val="21"/>
        </w:rPr>
        <w:t>十一、本协议书经甲、乙</w:t>
      </w:r>
      <w:r>
        <w:rPr>
          <w:rFonts w:hint="eastAsia" w:hAnsi="宋体" w:cs="宋体"/>
          <w:sz w:val="21"/>
          <w:szCs w:val="21"/>
          <w:lang w:val="en-US"/>
        </w:rPr>
        <w:t>双</w:t>
      </w:r>
      <w:r>
        <w:rPr>
          <w:rFonts w:hint="eastAsia" w:hAnsi="宋体" w:cs="宋体"/>
          <w:sz w:val="21"/>
          <w:szCs w:val="21"/>
        </w:rPr>
        <w:t>方加盖单位公章后生效，</w:t>
      </w:r>
      <w:r>
        <w:rPr>
          <w:rFonts w:hint="eastAsia" w:hAnsi="宋体" w:cs="宋体"/>
          <w:sz w:val="21"/>
          <w:szCs w:val="21"/>
          <w:lang w:val="en-US"/>
        </w:rPr>
        <w:t>双</w:t>
      </w:r>
      <w:r>
        <w:rPr>
          <w:rFonts w:hint="eastAsia" w:hAnsi="宋体" w:cs="宋体"/>
          <w:sz w:val="21"/>
          <w:szCs w:val="21"/>
        </w:rPr>
        <w:t>方的责任与义务履  行</w:t>
      </w:r>
      <w:r>
        <w:rPr>
          <w:rFonts w:hint="eastAsia" w:hAnsi="宋体" w:cs="宋体"/>
          <w:spacing w:val="3"/>
          <w:sz w:val="21"/>
          <w:szCs w:val="21"/>
        </w:rPr>
        <w:t>完后自动失效，但乙方应遵守的保密义务不因本合同的解除、终止而解除、终止。</w:t>
      </w:r>
    </w:p>
    <w:p>
      <w:pPr>
        <w:pStyle w:val="5"/>
        <w:ind w:firstLine="426" w:firstLineChars="202"/>
        <w:rPr>
          <w:rFonts w:hAnsi="宋体" w:cs="宋体"/>
          <w:sz w:val="21"/>
          <w:szCs w:val="21"/>
        </w:rPr>
      </w:pPr>
      <w:r>
        <w:rPr>
          <w:rFonts w:hint="eastAsia" w:hAnsi="宋体" w:cs="宋体"/>
          <w:sz w:val="21"/>
          <w:szCs w:val="21"/>
        </w:rPr>
        <w:t>十二、</w:t>
      </w:r>
      <w:r>
        <w:rPr>
          <w:rFonts w:hint="eastAsia" w:hAnsi="宋体" w:cs="宋体"/>
          <w:spacing w:val="-1"/>
          <w:sz w:val="21"/>
          <w:szCs w:val="21"/>
        </w:rPr>
        <w:t>、本合同一式</w:t>
      </w:r>
      <w:r>
        <w:rPr>
          <w:rFonts w:hint="eastAsia" w:hAnsi="宋体" w:cs="宋体"/>
          <w:spacing w:val="-1"/>
          <w:sz w:val="21"/>
          <w:szCs w:val="21"/>
          <w:lang w:val="en-US"/>
        </w:rPr>
        <w:t>陆</w:t>
      </w:r>
      <w:r>
        <w:rPr>
          <w:rFonts w:hint="eastAsia" w:hAnsi="宋体" w:cs="宋体"/>
          <w:spacing w:val="-1"/>
          <w:sz w:val="21"/>
          <w:szCs w:val="21"/>
        </w:rPr>
        <w:t>份，甲</w:t>
      </w:r>
      <w:r>
        <w:rPr>
          <w:rFonts w:hint="eastAsia" w:hAnsi="宋体" w:cs="宋体"/>
          <w:spacing w:val="-1"/>
          <w:sz w:val="21"/>
          <w:szCs w:val="21"/>
          <w:lang w:val="en-US"/>
        </w:rPr>
        <w:t>方1贰份</w:t>
      </w:r>
      <w:r>
        <w:rPr>
          <w:rFonts w:hint="eastAsia" w:hAnsi="宋体" w:cs="宋体"/>
          <w:spacing w:val="-1"/>
          <w:sz w:val="21"/>
          <w:szCs w:val="21"/>
        </w:rPr>
        <w:t>、</w:t>
      </w:r>
      <w:r>
        <w:rPr>
          <w:rFonts w:hint="eastAsia" w:hAnsi="宋体" w:cs="宋体"/>
          <w:spacing w:val="-1"/>
          <w:sz w:val="21"/>
          <w:szCs w:val="21"/>
          <w:lang w:val="en-US"/>
        </w:rPr>
        <w:t>甲方2贰份、</w:t>
      </w:r>
      <w:r>
        <w:rPr>
          <w:rFonts w:hint="eastAsia" w:hAnsi="宋体" w:cs="宋体"/>
          <w:spacing w:val="-1"/>
          <w:sz w:val="21"/>
          <w:szCs w:val="21"/>
        </w:rPr>
        <w:t>乙方</w:t>
      </w:r>
      <w:r>
        <w:rPr>
          <w:rFonts w:hint="eastAsia" w:hAnsi="宋体" w:cs="宋体"/>
          <w:spacing w:val="-1"/>
          <w:sz w:val="21"/>
          <w:szCs w:val="21"/>
          <w:lang w:val="en-US"/>
        </w:rPr>
        <w:t>贰</w:t>
      </w:r>
      <w:r>
        <w:rPr>
          <w:rFonts w:hint="eastAsia" w:hAnsi="宋体" w:cs="宋体"/>
          <w:spacing w:val="-1"/>
          <w:sz w:val="21"/>
          <w:szCs w:val="21"/>
        </w:rPr>
        <w:t>份。</w:t>
      </w:r>
    </w:p>
    <w:p>
      <w:pPr>
        <w:pStyle w:val="5"/>
        <w:ind w:firstLine="426" w:firstLineChars="202"/>
        <w:rPr>
          <w:rFonts w:hAnsi="宋体" w:cs="宋体"/>
          <w:spacing w:val="4"/>
          <w:w w:val="95"/>
          <w:sz w:val="21"/>
          <w:szCs w:val="21"/>
        </w:rPr>
      </w:pPr>
      <w:r>
        <w:rPr>
          <w:rFonts w:hint="eastAsia" w:hAnsi="宋体" w:cs="宋体"/>
          <w:sz w:val="21"/>
          <w:szCs w:val="21"/>
        </w:rPr>
        <w:t>十三、本协议书解释权归甲方。</w:t>
      </w:r>
    </w:p>
    <w:p/>
    <w:p>
      <w:pPr>
        <w:tabs>
          <w:tab w:val="left" w:pos="966"/>
        </w:tabs>
        <w:spacing w:line="360" w:lineRule="auto"/>
        <w:ind w:right="84" w:firstLine="424" w:firstLineChars="202"/>
        <w:rPr>
          <w:rFonts w:hAnsi="宋体" w:cs="宋体"/>
          <w:spacing w:val="-10"/>
          <w:sz w:val="21"/>
          <w:szCs w:val="21"/>
        </w:rPr>
      </w:pPr>
      <w:r>
        <w:rPr>
          <w:rFonts w:hint="eastAsia" w:hAnsi="宋体" w:cs="宋体"/>
          <w:sz w:val="21"/>
          <w:szCs w:val="21"/>
        </w:rPr>
        <w:t>附件1《审计工作质量及保密承诺书</w:t>
      </w:r>
      <w:r>
        <w:rPr>
          <w:rFonts w:hint="eastAsia" w:hAnsi="宋体" w:cs="宋体"/>
          <w:spacing w:val="-10"/>
          <w:sz w:val="21"/>
          <w:szCs w:val="21"/>
        </w:rPr>
        <w:t>》</w:t>
      </w:r>
    </w:p>
    <w:p>
      <w:pPr>
        <w:tabs>
          <w:tab w:val="left" w:pos="966"/>
        </w:tabs>
        <w:spacing w:line="360" w:lineRule="auto"/>
        <w:ind w:right="5315" w:firstLine="424" w:firstLineChars="202"/>
        <w:rPr>
          <w:rFonts w:hAnsi="宋体" w:cs="宋体"/>
          <w:sz w:val="21"/>
          <w:szCs w:val="21"/>
        </w:rPr>
      </w:pPr>
      <w:r>
        <w:rPr>
          <w:rFonts w:hint="eastAsia" w:hAnsi="宋体" w:cs="宋体"/>
          <w:sz w:val="21"/>
          <w:szCs w:val="21"/>
        </w:rPr>
        <w:t>附件2 《审计廉洁承诺书》</w:t>
      </w:r>
    </w:p>
    <w:p>
      <w:pPr>
        <w:tabs>
          <w:tab w:val="left" w:pos="2538"/>
          <w:tab w:val="left" w:pos="4869"/>
        </w:tabs>
        <w:spacing w:line="360" w:lineRule="auto"/>
        <w:ind w:firstLine="424" w:firstLineChars="202"/>
        <w:rPr>
          <w:rFonts w:hAnsi="宋体" w:cs="宋体"/>
          <w:position w:val="-4"/>
          <w:sz w:val="21"/>
          <w:szCs w:val="21"/>
        </w:rPr>
      </w:pPr>
    </w:p>
    <w:p>
      <w:pPr>
        <w:tabs>
          <w:tab w:val="left" w:pos="2538"/>
          <w:tab w:val="left" w:pos="4869"/>
        </w:tabs>
        <w:spacing w:line="360" w:lineRule="auto"/>
        <w:ind w:firstLine="424" w:firstLineChars="202"/>
        <w:rPr>
          <w:rFonts w:hAnsi="宋体" w:cs="宋体"/>
          <w:sz w:val="21"/>
          <w:szCs w:val="21"/>
        </w:rPr>
      </w:pPr>
      <w:r>
        <w:rPr>
          <w:rFonts w:hint="eastAsia" w:hAnsi="宋体" w:cs="宋体"/>
          <w:position w:val="-4"/>
          <w:sz w:val="21"/>
          <w:szCs w:val="21"/>
        </w:rPr>
        <w:t>甲方</w:t>
      </w:r>
      <w:r>
        <w:rPr>
          <w:rFonts w:hint="eastAsia" w:hAnsi="宋体" w:cs="宋体"/>
          <w:position w:val="-4"/>
          <w:sz w:val="21"/>
          <w:szCs w:val="21"/>
          <w:lang w:val="en-US"/>
        </w:rPr>
        <w:t>1</w:t>
      </w:r>
      <w:r>
        <w:rPr>
          <w:rFonts w:hint="eastAsia" w:hAnsi="宋体" w:cs="宋体"/>
          <w:spacing w:val="-3"/>
          <w:position w:val="-4"/>
          <w:sz w:val="21"/>
          <w:szCs w:val="21"/>
        </w:rPr>
        <w:t>：</w:t>
      </w:r>
      <w:r>
        <w:rPr>
          <w:rFonts w:hint="eastAsia" w:hAnsi="宋体" w:cs="宋体"/>
          <w:spacing w:val="-3"/>
          <w:position w:val="-4"/>
          <w:sz w:val="21"/>
          <w:szCs w:val="21"/>
          <w:u w:val="single"/>
        </w:rPr>
        <w:t>（</w:t>
      </w:r>
      <w:r>
        <w:rPr>
          <w:rFonts w:hint="eastAsia" w:hAnsi="宋体" w:cs="宋体"/>
          <w:position w:val="-4"/>
          <w:sz w:val="21"/>
          <w:szCs w:val="21"/>
          <w:u w:val="single"/>
        </w:rPr>
        <w:t>单</w:t>
      </w:r>
      <w:r>
        <w:rPr>
          <w:rFonts w:hint="eastAsia" w:hAnsi="宋体" w:cs="宋体"/>
          <w:spacing w:val="-5"/>
          <w:position w:val="-4"/>
          <w:sz w:val="21"/>
          <w:szCs w:val="21"/>
          <w:u w:val="single"/>
        </w:rPr>
        <w:t>位</w:t>
      </w:r>
      <w:r>
        <w:rPr>
          <w:rFonts w:hint="eastAsia" w:hAnsi="宋体" w:cs="宋体"/>
          <w:position w:val="-4"/>
          <w:sz w:val="21"/>
          <w:szCs w:val="21"/>
          <w:u w:val="single"/>
        </w:rPr>
        <w:t>全</w:t>
      </w:r>
      <w:r>
        <w:rPr>
          <w:rFonts w:hint="eastAsia" w:hAnsi="宋体" w:cs="宋体"/>
          <w:spacing w:val="-5"/>
          <w:position w:val="-4"/>
          <w:sz w:val="21"/>
          <w:szCs w:val="21"/>
          <w:u w:val="single"/>
        </w:rPr>
        <w:t>称</w:t>
      </w:r>
      <w:r>
        <w:rPr>
          <w:rFonts w:hint="eastAsia" w:hAnsi="宋体" w:cs="宋体"/>
          <w:position w:val="-4"/>
          <w:sz w:val="21"/>
          <w:szCs w:val="21"/>
          <w:u w:val="single"/>
        </w:rPr>
        <w:t>）</w:t>
      </w:r>
      <w:r>
        <w:rPr>
          <w:rFonts w:hint="eastAsia" w:hAnsi="宋体" w:cs="宋体"/>
          <w:position w:val="-4"/>
          <w:sz w:val="21"/>
          <w:szCs w:val="21"/>
          <w:u w:val="single"/>
        </w:rPr>
        <w:tab/>
      </w:r>
      <w:r>
        <w:rPr>
          <w:rFonts w:hint="eastAsia" w:hAnsi="宋体" w:cs="宋体"/>
          <w:position w:val="-4"/>
          <w:sz w:val="21"/>
          <w:szCs w:val="21"/>
        </w:rPr>
        <w:t>（</w:t>
      </w:r>
      <w:r>
        <w:rPr>
          <w:rFonts w:hint="eastAsia" w:hAnsi="宋体" w:cs="宋体"/>
          <w:spacing w:val="-5"/>
          <w:position w:val="-4"/>
          <w:sz w:val="21"/>
          <w:szCs w:val="21"/>
        </w:rPr>
        <w:t>盖</w:t>
      </w:r>
      <w:r>
        <w:rPr>
          <w:rFonts w:hint="eastAsia" w:hAnsi="宋体" w:cs="宋体"/>
          <w:position w:val="-4"/>
          <w:sz w:val="21"/>
          <w:szCs w:val="21"/>
        </w:rPr>
        <w:t>单</w:t>
      </w:r>
      <w:r>
        <w:rPr>
          <w:rFonts w:hint="eastAsia" w:hAnsi="宋体" w:cs="宋体"/>
          <w:spacing w:val="-5"/>
          <w:position w:val="-4"/>
          <w:sz w:val="21"/>
          <w:szCs w:val="21"/>
        </w:rPr>
        <w:t>位</w:t>
      </w:r>
      <w:r>
        <w:rPr>
          <w:rFonts w:hint="eastAsia" w:hAnsi="宋体" w:cs="宋体"/>
          <w:position w:val="-4"/>
          <w:sz w:val="21"/>
          <w:szCs w:val="21"/>
        </w:rPr>
        <w:t>章）</w:t>
      </w:r>
      <w:r>
        <w:rPr>
          <w:rFonts w:hint="eastAsia" w:hAnsi="宋体" w:cs="宋体"/>
          <w:position w:val="-4"/>
          <w:sz w:val="21"/>
          <w:szCs w:val="21"/>
        </w:rPr>
        <w:tab/>
      </w:r>
      <w:r>
        <w:rPr>
          <w:rFonts w:hint="eastAsia" w:hAnsi="宋体" w:cs="宋体"/>
          <w:sz w:val="21"/>
          <w:szCs w:val="21"/>
          <w:lang w:val="en-US"/>
        </w:rPr>
        <w:t>甲</w:t>
      </w:r>
      <w:r>
        <w:rPr>
          <w:rFonts w:hint="eastAsia" w:hAnsi="宋体" w:cs="宋体"/>
          <w:sz w:val="21"/>
          <w:szCs w:val="21"/>
        </w:rPr>
        <w:t>方</w:t>
      </w:r>
      <w:r>
        <w:rPr>
          <w:rFonts w:hint="eastAsia" w:hAnsi="宋体" w:cs="宋体"/>
          <w:sz w:val="21"/>
          <w:szCs w:val="21"/>
          <w:lang w:val="en-US"/>
        </w:rPr>
        <w:t>2</w:t>
      </w:r>
      <w:r>
        <w:rPr>
          <w:rFonts w:hint="eastAsia" w:hAnsi="宋体" w:cs="宋体"/>
          <w:sz w:val="21"/>
          <w:szCs w:val="21"/>
        </w:rPr>
        <w:t>：</w:t>
      </w:r>
      <w:r>
        <w:rPr>
          <w:rFonts w:hint="eastAsia" w:hAnsi="宋体" w:cs="宋体"/>
          <w:sz w:val="21"/>
          <w:szCs w:val="21"/>
          <w:u w:val="single"/>
        </w:rPr>
        <w:t>（</w:t>
      </w:r>
      <w:r>
        <w:rPr>
          <w:rFonts w:hint="eastAsia" w:hAnsi="宋体" w:cs="宋体"/>
          <w:spacing w:val="-5"/>
          <w:sz w:val="21"/>
          <w:szCs w:val="21"/>
          <w:u w:val="single"/>
        </w:rPr>
        <w:t>单</w:t>
      </w:r>
      <w:r>
        <w:rPr>
          <w:rFonts w:hint="eastAsia" w:hAnsi="宋体" w:cs="宋体"/>
          <w:sz w:val="21"/>
          <w:szCs w:val="21"/>
          <w:u w:val="single"/>
        </w:rPr>
        <w:t>位</w:t>
      </w:r>
      <w:r>
        <w:rPr>
          <w:rFonts w:hint="eastAsia" w:hAnsi="宋体" w:cs="宋体"/>
          <w:spacing w:val="-5"/>
          <w:sz w:val="21"/>
          <w:szCs w:val="21"/>
          <w:u w:val="single"/>
        </w:rPr>
        <w:t>全</w:t>
      </w:r>
      <w:r>
        <w:rPr>
          <w:rFonts w:hint="eastAsia" w:hAnsi="宋体" w:cs="宋体"/>
          <w:sz w:val="21"/>
          <w:szCs w:val="21"/>
          <w:u w:val="single"/>
        </w:rPr>
        <w:t>称）</w:t>
      </w:r>
      <w:r>
        <w:rPr>
          <w:rFonts w:hint="eastAsia" w:hAnsi="宋体" w:cs="宋体"/>
          <w:sz w:val="21"/>
          <w:szCs w:val="21"/>
        </w:rPr>
        <w:t>（盖</w:t>
      </w:r>
      <w:r>
        <w:rPr>
          <w:rFonts w:hint="eastAsia" w:hAnsi="宋体" w:cs="宋体"/>
          <w:spacing w:val="-5"/>
          <w:sz w:val="21"/>
          <w:szCs w:val="21"/>
        </w:rPr>
        <w:t>单</w:t>
      </w:r>
      <w:r>
        <w:rPr>
          <w:rFonts w:hint="eastAsia" w:hAnsi="宋体" w:cs="宋体"/>
          <w:sz w:val="21"/>
          <w:szCs w:val="21"/>
        </w:rPr>
        <w:t>位</w:t>
      </w:r>
      <w:r>
        <w:rPr>
          <w:rFonts w:hint="eastAsia" w:hAnsi="宋体" w:cs="宋体"/>
          <w:spacing w:val="-5"/>
          <w:sz w:val="21"/>
          <w:szCs w:val="21"/>
        </w:rPr>
        <w:t>章</w:t>
      </w:r>
      <w:r>
        <w:rPr>
          <w:rFonts w:hint="eastAsia" w:hAnsi="宋体" w:cs="宋体"/>
          <w:sz w:val="21"/>
          <w:szCs w:val="21"/>
        </w:rPr>
        <w:t>）</w:t>
      </w:r>
    </w:p>
    <w:p>
      <w:pPr>
        <w:tabs>
          <w:tab w:val="left" w:pos="2538"/>
          <w:tab w:val="left" w:pos="4869"/>
        </w:tabs>
        <w:spacing w:line="360" w:lineRule="auto"/>
        <w:ind w:firstLine="424" w:firstLineChars="202"/>
        <w:rPr>
          <w:rFonts w:hAnsi="宋体" w:cs="宋体"/>
          <w:sz w:val="21"/>
          <w:szCs w:val="21"/>
          <w:u w:val="single"/>
        </w:rPr>
      </w:pPr>
      <w:r>
        <w:rPr>
          <w:rFonts w:hint="eastAsia" w:hAnsi="宋体" w:cs="宋体"/>
          <w:sz w:val="21"/>
          <w:szCs w:val="21"/>
        </w:rPr>
        <w:t xml:space="preserve">法定代表人或委托代理人：                  法定代表人或委托代理人：   </w:t>
      </w:r>
      <w:r>
        <w:rPr>
          <w:rFonts w:hint="eastAsia" w:hAnsi="宋体" w:cs="宋体"/>
          <w:w w:val="95"/>
          <w:sz w:val="21"/>
          <w:szCs w:val="21"/>
        </w:rPr>
        <w:t xml:space="preserve">                </w:t>
      </w:r>
    </w:p>
    <w:p>
      <w:pPr>
        <w:tabs>
          <w:tab w:val="left" w:pos="1384"/>
          <w:tab w:val="left" w:pos="1907"/>
          <w:tab w:val="left" w:pos="4869"/>
          <w:tab w:val="left" w:pos="5920"/>
          <w:tab w:val="left" w:pos="6443"/>
          <w:tab w:val="left" w:pos="6863"/>
        </w:tabs>
        <w:spacing w:line="360" w:lineRule="auto"/>
        <w:ind w:right="2772" w:firstLine="424" w:firstLineChars="202"/>
        <w:rPr>
          <w:rFonts w:hAnsi="宋体" w:cs="宋体"/>
          <w:spacing w:val="-18"/>
          <w:sz w:val="21"/>
          <w:szCs w:val="21"/>
        </w:rPr>
      </w:pPr>
      <w:r>
        <w:rPr>
          <w:rFonts w:hint="eastAsia" w:hAnsi="宋体" w:cs="宋体"/>
          <w:sz w:val="21"/>
          <w:szCs w:val="21"/>
        </w:rPr>
        <w:t>日期：</w:t>
      </w:r>
      <w:r>
        <w:rPr>
          <w:rFonts w:hint="eastAsia" w:hAnsi="宋体" w:cs="宋体"/>
          <w:sz w:val="21"/>
          <w:szCs w:val="21"/>
        </w:rPr>
        <w:tab/>
      </w:r>
      <w:r>
        <w:rPr>
          <w:rFonts w:hint="eastAsia" w:hAnsi="宋体" w:cs="宋体"/>
          <w:sz w:val="21"/>
          <w:szCs w:val="21"/>
        </w:rPr>
        <w:t>年</w:t>
      </w:r>
      <w:r>
        <w:rPr>
          <w:rFonts w:hint="eastAsia" w:hAnsi="宋体" w:cs="宋体"/>
          <w:sz w:val="21"/>
          <w:szCs w:val="21"/>
        </w:rPr>
        <w:tab/>
      </w:r>
      <w:r>
        <w:rPr>
          <w:rFonts w:hint="eastAsia" w:hAnsi="宋体" w:cs="宋体"/>
          <w:sz w:val="21"/>
          <w:szCs w:val="21"/>
        </w:rPr>
        <w:t>月</w:t>
      </w:r>
      <w:r>
        <w:rPr>
          <w:rFonts w:hint="eastAsia" w:hAnsi="宋体" w:cs="宋体"/>
          <w:spacing w:val="1"/>
          <w:sz w:val="21"/>
          <w:szCs w:val="21"/>
        </w:rPr>
        <w:t xml:space="preserve"> </w:t>
      </w:r>
      <w:r>
        <w:rPr>
          <w:rFonts w:hint="eastAsia" w:hAnsi="宋体" w:cs="宋体"/>
          <w:sz w:val="21"/>
          <w:szCs w:val="21"/>
        </w:rPr>
        <w:t>日</w:t>
      </w:r>
      <w:r>
        <w:rPr>
          <w:rFonts w:hint="eastAsia" w:hAnsi="宋体" w:cs="宋体"/>
          <w:sz w:val="21"/>
          <w:szCs w:val="21"/>
        </w:rPr>
        <w:tab/>
      </w:r>
      <w:r>
        <w:rPr>
          <w:rFonts w:hint="eastAsia" w:hAnsi="宋体" w:cs="宋体"/>
          <w:sz w:val="21"/>
          <w:szCs w:val="21"/>
        </w:rPr>
        <w:t>日期：</w:t>
      </w:r>
      <w:r>
        <w:rPr>
          <w:rFonts w:hint="eastAsia" w:hAnsi="宋体" w:cs="宋体"/>
          <w:sz w:val="21"/>
          <w:szCs w:val="21"/>
        </w:rPr>
        <w:tab/>
      </w:r>
      <w:r>
        <w:rPr>
          <w:rFonts w:hint="eastAsia" w:hAnsi="宋体" w:cs="宋体"/>
          <w:sz w:val="21"/>
          <w:szCs w:val="21"/>
        </w:rPr>
        <w:t>年</w:t>
      </w:r>
      <w:r>
        <w:rPr>
          <w:rFonts w:hint="eastAsia" w:hAnsi="宋体" w:cs="宋体"/>
          <w:sz w:val="21"/>
          <w:szCs w:val="21"/>
        </w:rPr>
        <w:tab/>
      </w:r>
      <w:r>
        <w:rPr>
          <w:rFonts w:hint="eastAsia" w:hAnsi="宋体" w:cs="宋体"/>
          <w:sz w:val="21"/>
          <w:szCs w:val="21"/>
        </w:rPr>
        <w:t>月</w:t>
      </w:r>
      <w:r>
        <w:rPr>
          <w:rFonts w:hint="eastAsia" w:hAnsi="宋体" w:cs="宋体"/>
          <w:sz w:val="21"/>
          <w:szCs w:val="21"/>
        </w:rPr>
        <w:tab/>
      </w:r>
      <w:r>
        <w:rPr>
          <w:rFonts w:hint="eastAsia" w:hAnsi="宋体" w:cs="宋体"/>
          <w:spacing w:val="-18"/>
          <w:sz w:val="21"/>
          <w:szCs w:val="21"/>
        </w:rPr>
        <w:t>日</w:t>
      </w:r>
    </w:p>
    <w:p>
      <w:pPr>
        <w:rPr>
          <w:lang w:val="en-US"/>
        </w:rPr>
      </w:pPr>
      <w:r>
        <w:rPr>
          <w:rFonts w:hint="eastAsia"/>
          <w:lang w:val="en-US"/>
        </w:rPr>
        <w:t xml:space="preserve">   </w:t>
      </w:r>
    </w:p>
    <w:p>
      <w:pPr>
        <w:spacing w:line="360" w:lineRule="auto"/>
        <w:ind w:firstLine="420" w:firstLineChars="200"/>
        <w:rPr>
          <w:rFonts w:hAnsi="宋体" w:cs="宋体"/>
          <w:sz w:val="21"/>
          <w:szCs w:val="21"/>
          <w:lang w:val="en-US"/>
        </w:rPr>
      </w:pPr>
    </w:p>
    <w:p>
      <w:pPr>
        <w:spacing w:line="360" w:lineRule="auto"/>
        <w:ind w:firstLine="420" w:firstLineChars="200"/>
        <w:rPr>
          <w:rFonts w:hAnsi="宋体" w:cs="宋体"/>
          <w:sz w:val="21"/>
          <w:szCs w:val="21"/>
        </w:rPr>
      </w:pPr>
      <w:r>
        <w:rPr>
          <w:rFonts w:hint="eastAsia" w:hAnsi="宋体" w:cs="宋体"/>
          <w:sz w:val="21"/>
          <w:szCs w:val="21"/>
          <w:lang w:val="en-US"/>
        </w:rPr>
        <w:t>乙</w:t>
      </w:r>
      <w:r>
        <w:rPr>
          <w:rFonts w:hint="eastAsia" w:hAnsi="宋体" w:cs="宋体"/>
          <w:sz w:val="21"/>
          <w:szCs w:val="21"/>
        </w:rPr>
        <w:t>方：</w:t>
      </w:r>
      <w:r>
        <w:rPr>
          <w:rFonts w:hint="eastAsia" w:hAnsi="宋体" w:cs="宋体"/>
          <w:sz w:val="21"/>
          <w:szCs w:val="21"/>
          <w:u w:val="single"/>
        </w:rPr>
        <w:t>（</w:t>
      </w:r>
      <w:r>
        <w:rPr>
          <w:rFonts w:hint="eastAsia" w:hAnsi="宋体" w:cs="宋体"/>
          <w:spacing w:val="-5"/>
          <w:sz w:val="21"/>
          <w:szCs w:val="21"/>
          <w:u w:val="single"/>
        </w:rPr>
        <w:t>单</w:t>
      </w:r>
      <w:r>
        <w:rPr>
          <w:rFonts w:hint="eastAsia" w:hAnsi="宋体" w:cs="宋体"/>
          <w:sz w:val="21"/>
          <w:szCs w:val="21"/>
          <w:u w:val="single"/>
        </w:rPr>
        <w:t>位</w:t>
      </w:r>
      <w:r>
        <w:rPr>
          <w:rFonts w:hint="eastAsia" w:hAnsi="宋体" w:cs="宋体"/>
          <w:spacing w:val="-5"/>
          <w:sz w:val="21"/>
          <w:szCs w:val="21"/>
          <w:u w:val="single"/>
        </w:rPr>
        <w:t>全</w:t>
      </w:r>
      <w:r>
        <w:rPr>
          <w:rFonts w:hint="eastAsia" w:hAnsi="宋体" w:cs="宋体"/>
          <w:sz w:val="21"/>
          <w:szCs w:val="21"/>
          <w:u w:val="single"/>
        </w:rPr>
        <w:t>称）</w:t>
      </w:r>
      <w:r>
        <w:rPr>
          <w:rFonts w:hint="eastAsia" w:hAnsi="宋体" w:cs="宋体"/>
          <w:sz w:val="21"/>
          <w:szCs w:val="21"/>
        </w:rPr>
        <w:t>（盖</w:t>
      </w:r>
      <w:r>
        <w:rPr>
          <w:rFonts w:hint="eastAsia" w:hAnsi="宋体" w:cs="宋体"/>
          <w:spacing w:val="-5"/>
          <w:sz w:val="21"/>
          <w:szCs w:val="21"/>
        </w:rPr>
        <w:t>单</w:t>
      </w:r>
      <w:r>
        <w:rPr>
          <w:rFonts w:hint="eastAsia" w:hAnsi="宋体" w:cs="宋体"/>
          <w:sz w:val="21"/>
          <w:szCs w:val="21"/>
        </w:rPr>
        <w:t>位</w:t>
      </w:r>
      <w:r>
        <w:rPr>
          <w:rFonts w:hint="eastAsia" w:hAnsi="宋体" w:cs="宋体"/>
          <w:spacing w:val="-5"/>
          <w:sz w:val="21"/>
          <w:szCs w:val="21"/>
        </w:rPr>
        <w:t>章</w:t>
      </w:r>
      <w:r>
        <w:rPr>
          <w:rFonts w:hint="eastAsia" w:hAnsi="宋体" w:cs="宋体"/>
          <w:sz w:val="21"/>
          <w:szCs w:val="21"/>
        </w:rPr>
        <w:t>）</w:t>
      </w:r>
    </w:p>
    <w:p>
      <w:pPr>
        <w:tabs>
          <w:tab w:val="left" w:pos="2538"/>
          <w:tab w:val="left" w:pos="4869"/>
        </w:tabs>
        <w:spacing w:line="360" w:lineRule="auto"/>
        <w:ind w:firstLine="424" w:firstLineChars="202"/>
        <w:rPr>
          <w:rFonts w:hAnsi="宋体" w:cs="宋体"/>
          <w:sz w:val="21"/>
          <w:szCs w:val="21"/>
        </w:rPr>
      </w:pPr>
      <w:r>
        <w:rPr>
          <w:rFonts w:hint="eastAsia" w:hAnsi="宋体" w:cs="宋体"/>
          <w:sz w:val="21"/>
          <w:szCs w:val="21"/>
        </w:rPr>
        <w:t>法定代表人或委托代理人：</w:t>
      </w:r>
    </w:p>
    <w:p>
      <w:pPr>
        <w:spacing w:line="360" w:lineRule="auto"/>
        <w:ind w:firstLine="420" w:firstLineChars="200"/>
        <w:rPr>
          <w:rFonts w:hAnsi="宋体" w:cs="宋体"/>
          <w:spacing w:val="-18"/>
          <w:sz w:val="21"/>
          <w:szCs w:val="21"/>
        </w:rPr>
      </w:pPr>
      <w:r>
        <w:rPr>
          <w:rFonts w:hint="eastAsia" w:hAnsi="宋体" w:cs="宋体"/>
          <w:sz w:val="21"/>
          <w:szCs w:val="21"/>
        </w:rPr>
        <w:t>日期：</w:t>
      </w:r>
      <w:r>
        <w:rPr>
          <w:rFonts w:hint="eastAsia" w:hAnsi="宋体" w:cs="宋体"/>
          <w:sz w:val="21"/>
          <w:szCs w:val="21"/>
        </w:rPr>
        <w:tab/>
      </w:r>
      <w:r>
        <w:rPr>
          <w:rFonts w:hint="eastAsia" w:hAnsi="宋体" w:cs="宋体"/>
          <w:sz w:val="21"/>
          <w:szCs w:val="21"/>
        </w:rPr>
        <w:t>年</w:t>
      </w:r>
      <w:r>
        <w:rPr>
          <w:rFonts w:hint="eastAsia" w:hAnsi="宋体" w:cs="宋体"/>
          <w:sz w:val="21"/>
          <w:szCs w:val="21"/>
        </w:rPr>
        <w:tab/>
      </w:r>
      <w:r>
        <w:rPr>
          <w:rFonts w:hint="eastAsia" w:hAnsi="宋体" w:cs="宋体"/>
          <w:sz w:val="21"/>
          <w:szCs w:val="21"/>
        </w:rPr>
        <w:t>月</w:t>
      </w:r>
      <w:r>
        <w:rPr>
          <w:rFonts w:hint="eastAsia" w:hAnsi="宋体" w:cs="宋体"/>
          <w:spacing w:val="1"/>
          <w:sz w:val="21"/>
          <w:szCs w:val="21"/>
        </w:rPr>
        <w:t xml:space="preserve"> </w:t>
      </w:r>
      <w:r>
        <w:rPr>
          <w:rFonts w:hint="eastAsia" w:hAnsi="宋体" w:cs="宋体"/>
          <w:sz w:val="21"/>
          <w:szCs w:val="21"/>
        </w:rPr>
        <w:t>日</w:t>
      </w:r>
      <w:r>
        <w:rPr>
          <w:rFonts w:hint="eastAsia" w:hAnsi="宋体" w:cs="宋体"/>
          <w:w w:val="95"/>
          <w:sz w:val="21"/>
          <w:szCs w:val="21"/>
        </w:rPr>
        <w:t xml:space="preserve">    </w:t>
      </w:r>
      <w:r>
        <w:br w:type="page"/>
      </w:r>
    </w:p>
    <w:p>
      <w:pPr>
        <w:spacing w:before="52"/>
        <w:rPr>
          <w:rFonts w:hAnsi="宋体" w:cs="宋体"/>
          <w:sz w:val="21"/>
          <w:szCs w:val="21"/>
        </w:rPr>
      </w:pPr>
      <w:r>
        <w:rPr>
          <w:rFonts w:hint="eastAsia" w:hAnsi="宋体" w:cs="宋体"/>
          <w:sz w:val="21"/>
          <w:szCs w:val="21"/>
        </w:rPr>
        <w:t>附件 1</w:t>
      </w:r>
    </w:p>
    <w:p>
      <w:pPr>
        <w:pStyle w:val="5"/>
        <w:ind w:firstLine="211" w:firstLineChars="100"/>
        <w:jc w:val="center"/>
        <w:rPr>
          <w:rFonts w:hAnsi="宋体" w:cs="宋体"/>
          <w:sz w:val="21"/>
          <w:szCs w:val="21"/>
        </w:rPr>
      </w:pPr>
      <w:r>
        <w:rPr>
          <w:rFonts w:hint="eastAsia" w:hAnsi="宋体" w:cs="宋体"/>
          <w:sz w:val="21"/>
          <w:szCs w:val="21"/>
        </w:rPr>
        <w:t>审计工作质量及保密承诺书</w:t>
      </w:r>
    </w:p>
    <w:p>
      <w:pPr>
        <w:spacing w:before="12" w:line="360" w:lineRule="auto"/>
        <w:rPr>
          <w:rFonts w:hAnsi="宋体" w:cs="宋体"/>
          <w:b/>
          <w:sz w:val="17"/>
          <w:szCs w:val="21"/>
        </w:rPr>
      </w:pPr>
    </w:p>
    <w:p>
      <w:pPr>
        <w:tabs>
          <w:tab w:val="left" w:pos="2745"/>
        </w:tabs>
        <w:spacing w:line="360" w:lineRule="auto"/>
        <w:ind w:right="88" w:firstLine="420"/>
        <w:rPr>
          <w:rFonts w:hAnsi="宋体" w:cs="宋体"/>
          <w:sz w:val="21"/>
          <w:szCs w:val="21"/>
        </w:rPr>
      </w:pPr>
      <w:r>
        <w:rPr>
          <w:rFonts w:hint="eastAsia" w:hAnsi="宋体" w:cs="宋体"/>
          <w:sz w:val="21"/>
          <w:szCs w:val="21"/>
        </w:rPr>
        <w:t>我公司参与</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rPr>
        <w:t>项目竣工决算的审计工作根据四川蜀道物流集团有限公司、渠县蜀物致远物流发展有限公司对竣工决算审计的目标任务、时间安排、审计内容和重点环节等要求，确保审计工作质量，严格遵守保密规定，并作出如下承诺：</w:t>
      </w:r>
    </w:p>
    <w:p>
      <w:pPr>
        <w:tabs>
          <w:tab w:val="left" w:pos="2745"/>
        </w:tabs>
        <w:spacing w:line="360" w:lineRule="auto"/>
        <w:ind w:right="88" w:firstLine="420"/>
        <w:rPr>
          <w:rFonts w:hAnsi="宋体" w:cs="宋体"/>
          <w:sz w:val="21"/>
          <w:szCs w:val="21"/>
        </w:rPr>
      </w:pPr>
      <w:r>
        <w:rPr>
          <w:rFonts w:hint="eastAsia" w:hAnsi="宋体" w:cs="宋体"/>
          <w:sz w:val="21"/>
          <w:szCs w:val="21"/>
        </w:rPr>
        <w:t>1.严格按照竣工决算审计目标任务、审计内容和重点环节等要求完成财务决算审计工作。</w:t>
      </w:r>
    </w:p>
    <w:p>
      <w:pPr>
        <w:tabs>
          <w:tab w:val="left" w:pos="2745"/>
        </w:tabs>
        <w:spacing w:line="360" w:lineRule="auto"/>
        <w:ind w:right="88" w:firstLine="420"/>
        <w:rPr>
          <w:rFonts w:hAnsi="宋体" w:cs="宋体"/>
          <w:sz w:val="21"/>
          <w:szCs w:val="21"/>
        </w:rPr>
      </w:pPr>
      <w:r>
        <w:rPr>
          <w:rFonts w:hint="eastAsia" w:hAnsi="宋体" w:cs="宋体"/>
          <w:sz w:val="21"/>
          <w:szCs w:val="21"/>
        </w:rPr>
        <w:t>2.严格按照审计工作方案实施审计，保证按时、保质完成任务，如有违反按合同约定延迟出具审计报告条款处罚。特殊情况需要延伸等增加工作量确需延期的，应先报经批准，否则可视为不需延期。</w:t>
      </w:r>
    </w:p>
    <w:p>
      <w:pPr>
        <w:tabs>
          <w:tab w:val="left" w:pos="2745"/>
        </w:tabs>
        <w:spacing w:line="360" w:lineRule="auto"/>
        <w:ind w:right="88" w:firstLine="420"/>
        <w:rPr>
          <w:rFonts w:hAnsi="宋体" w:cs="宋体"/>
          <w:sz w:val="21"/>
          <w:szCs w:val="21"/>
        </w:rPr>
      </w:pPr>
      <w:r>
        <w:rPr>
          <w:rFonts w:hint="eastAsia" w:hAnsi="宋体" w:cs="宋体"/>
          <w:sz w:val="21"/>
          <w:szCs w:val="21"/>
        </w:rPr>
        <w:t>3.按参选时的工作方案选派审计组成员，若个别确需调整人员的，更换人员的资质和能力水平不低于参选时承诺的人员并需经批准。</w:t>
      </w:r>
    </w:p>
    <w:p>
      <w:pPr>
        <w:tabs>
          <w:tab w:val="left" w:pos="2745"/>
        </w:tabs>
        <w:spacing w:line="360" w:lineRule="auto"/>
        <w:ind w:right="88" w:firstLine="420"/>
        <w:rPr>
          <w:rFonts w:hAnsi="宋体" w:cs="宋体"/>
          <w:sz w:val="21"/>
          <w:szCs w:val="21"/>
        </w:rPr>
      </w:pPr>
      <w:r>
        <w:rPr>
          <w:rFonts w:hint="eastAsia" w:hAnsi="宋体" w:cs="宋体"/>
          <w:sz w:val="21"/>
          <w:szCs w:val="21"/>
        </w:rPr>
        <w:t>4在本项目完成之前，所有派至该项目的审计人员仅服务于该项目，不再参与其他项目的工作。</w:t>
      </w:r>
    </w:p>
    <w:p>
      <w:pPr>
        <w:tabs>
          <w:tab w:val="left" w:pos="2745"/>
        </w:tabs>
        <w:spacing w:line="360" w:lineRule="auto"/>
        <w:ind w:right="88" w:firstLine="420"/>
        <w:rPr>
          <w:rFonts w:hAnsi="宋体" w:cs="宋体"/>
          <w:sz w:val="21"/>
          <w:szCs w:val="21"/>
        </w:rPr>
      </w:pPr>
      <w:r>
        <w:rPr>
          <w:rFonts w:hint="eastAsia" w:hAnsi="宋体" w:cs="宋体"/>
          <w:sz w:val="21"/>
          <w:szCs w:val="21"/>
        </w:rPr>
        <w:t>5.严格管理我公司参与审计的人员，遵守相关审计程序、工作纪律等相关规定，并定期汇报工作进展、发现问题等事宜。</w:t>
      </w:r>
    </w:p>
    <w:p>
      <w:pPr>
        <w:tabs>
          <w:tab w:val="left" w:pos="2745"/>
        </w:tabs>
        <w:spacing w:line="360" w:lineRule="auto"/>
        <w:ind w:right="88" w:firstLine="420"/>
        <w:rPr>
          <w:rFonts w:hAnsi="宋体" w:cs="宋体"/>
          <w:sz w:val="21"/>
          <w:szCs w:val="21"/>
        </w:rPr>
      </w:pPr>
      <w:r>
        <w:rPr>
          <w:rFonts w:hint="eastAsia" w:hAnsi="宋体" w:cs="宋体"/>
          <w:sz w:val="21"/>
          <w:szCs w:val="21"/>
        </w:rPr>
        <w:t xml:space="preserve">6.在审计过程中，遇有重大事项，或违纪违法违规问题时，不私自透露给被审计单位或其协商解决，并及时向蜀道集团汇报，自觉接受委托方和审计机关对我公司审计工作的考核、检查。   </w:t>
      </w:r>
    </w:p>
    <w:p>
      <w:pPr>
        <w:tabs>
          <w:tab w:val="left" w:pos="2745"/>
        </w:tabs>
        <w:spacing w:line="360" w:lineRule="auto"/>
        <w:ind w:right="88" w:firstLine="420"/>
        <w:rPr>
          <w:rFonts w:hAnsi="宋体" w:cs="宋体"/>
          <w:sz w:val="21"/>
          <w:szCs w:val="21"/>
        </w:rPr>
      </w:pPr>
      <w:r>
        <w:rPr>
          <w:rFonts w:hint="eastAsia" w:hAnsi="宋体" w:cs="宋体"/>
          <w:sz w:val="21"/>
          <w:szCs w:val="21"/>
        </w:rPr>
        <w:t>7.对出具的审计报告及相关审计文书的合法性、真实性、准确性负责。若审计报告及相关审计文书出现内容不实或虚假等问题，我公司将承担一切责任及后果。</w:t>
      </w:r>
    </w:p>
    <w:p>
      <w:pPr>
        <w:tabs>
          <w:tab w:val="left" w:pos="2745"/>
        </w:tabs>
        <w:spacing w:line="360" w:lineRule="auto"/>
        <w:ind w:right="88" w:firstLine="420"/>
        <w:rPr>
          <w:rFonts w:hAnsi="宋体" w:cs="宋体"/>
          <w:sz w:val="21"/>
          <w:szCs w:val="21"/>
        </w:rPr>
      </w:pPr>
      <w:r>
        <w:rPr>
          <w:rFonts w:hint="eastAsia" w:hAnsi="宋体" w:cs="宋体"/>
          <w:sz w:val="21"/>
          <w:szCs w:val="21"/>
        </w:rPr>
        <w:t>8.严格保守国家秘密和被审计单位的商业秘密，不泄露委托服务项目有关的招标信息、造价信息等，包括但不限于工程量清单、控制预算等可能影响公平竞争或有损害客户利益的内幕信息。</w:t>
      </w:r>
    </w:p>
    <w:p>
      <w:pPr>
        <w:tabs>
          <w:tab w:val="left" w:pos="2745"/>
        </w:tabs>
        <w:spacing w:line="360" w:lineRule="auto"/>
        <w:ind w:right="88" w:firstLine="420"/>
        <w:rPr>
          <w:rFonts w:hAnsi="宋体" w:cs="宋体"/>
          <w:sz w:val="21"/>
          <w:szCs w:val="21"/>
        </w:rPr>
      </w:pPr>
      <w:r>
        <w:rPr>
          <w:rFonts w:hint="eastAsia" w:hAnsi="宋体" w:cs="宋体"/>
          <w:sz w:val="21"/>
          <w:szCs w:val="21"/>
        </w:rPr>
        <w:t>我公司如果违背以上承诺，在任何时期被查证属实，愿意承担一切后果及经济赔偿责任。</w:t>
      </w:r>
    </w:p>
    <w:p>
      <w:pPr>
        <w:pStyle w:val="2"/>
        <w:rPr>
          <w:rFonts w:ascii="仿宋_GB2312" w:eastAsia="仿宋_GB2312"/>
        </w:rPr>
      </w:pPr>
    </w:p>
    <w:p>
      <w:pPr>
        <w:tabs>
          <w:tab w:val="left" w:pos="3379"/>
        </w:tabs>
        <w:spacing w:line="360" w:lineRule="auto"/>
        <w:ind w:right="904"/>
        <w:rPr>
          <w:rFonts w:hAnsi="宋体" w:cs="宋体"/>
          <w:sz w:val="21"/>
          <w:szCs w:val="21"/>
        </w:rPr>
      </w:pPr>
      <w:r>
        <w:rPr>
          <w:rFonts w:hint="eastAsia" w:hAnsi="宋体" w:cs="宋体"/>
          <w:sz w:val="21"/>
          <w:szCs w:val="21"/>
        </w:rPr>
        <w:t>审计单位：</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pacing w:val="-5"/>
          <w:sz w:val="21"/>
          <w:szCs w:val="21"/>
        </w:rPr>
        <w:t>（</w:t>
      </w:r>
      <w:r>
        <w:rPr>
          <w:rFonts w:hint="eastAsia" w:hAnsi="宋体" w:cs="宋体"/>
          <w:sz w:val="21"/>
          <w:szCs w:val="21"/>
        </w:rPr>
        <w:t>盖</w:t>
      </w:r>
      <w:r>
        <w:rPr>
          <w:rFonts w:hint="eastAsia" w:hAnsi="宋体" w:cs="宋体"/>
          <w:spacing w:val="-5"/>
          <w:sz w:val="21"/>
          <w:szCs w:val="21"/>
        </w:rPr>
        <w:t>单</w:t>
      </w:r>
      <w:r>
        <w:rPr>
          <w:rFonts w:hint="eastAsia" w:hAnsi="宋体" w:cs="宋体"/>
          <w:sz w:val="21"/>
          <w:szCs w:val="21"/>
        </w:rPr>
        <w:t>位</w:t>
      </w:r>
      <w:r>
        <w:rPr>
          <w:rFonts w:hint="eastAsia" w:hAnsi="宋体" w:cs="宋体"/>
          <w:spacing w:val="-5"/>
          <w:sz w:val="21"/>
          <w:szCs w:val="21"/>
        </w:rPr>
        <w:t>章</w:t>
      </w:r>
      <w:r>
        <w:rPr>
          <w:rFonts w:hint="eastAsia" w:hAnsi="宋体" w:cs="宋体"/>
          <w:sz w:val="21"/>
          <w:szCs w:val="21"/>
        </w:rPr>
        <w:t>）</w:t>
      </w:r>
    </w:p>
    <w:p>
      <w:pPr>
        <w:tabs>
          <w:tab w:val="left" w:pos="2745"/>
        </w:tabs>
        <w:spacing w:line="360" w:lineRule="auto"/>
        <w:ind w:right="88"/>
        <w:rPr>
          <w:rFonts w:hAnsi="宋体" w:cs="宋体"/>
          <w:sz w:val="21"/>
          <w:szCs w:val="21"/>
        </w:rPr>
      </w:pPr>
      <w:r>
        <w:rPr>
          <w:rFonts w:hint="eastAsia" w:hAnsi="宋体" w:cs="宋体"/>
          <w:sz w:val="21"/>
          <w:szCs w:val="21"/>
        </w:rPr>
        <w:t xml:space="preserve">法定代表人/负责人或委托代理人（签字）： </w:t>
      </w:r>
      <w:r>
        <w:rPr>
          <w:rFonts w:hint="eastAsia" w:hAnsi="宋体" w:cs="宋体"/>
          <w:sz w:val="21"/>
          <w:szCs w:val="21"/>
        </w:rPr>
        <w:tab/>
      </w:r>
    </w:p>
    <w:p>
      <w:pPr>
        <w:tabs>
          <w:tab w:val="left" w:pos="3379"/>
        </w:tabs>
        <w:spacing w:line="360" w:lineRule="auto"/>
        <w:ind w:right="904"/>
        <w:rPr>
          <w:rFonts w:hAnsi="宋体" w:cs="宋体"/>
          <w:sz w:val="21"/>
          <w:szCs w:val="21"/>
        </w:rPr>
      </w:pPr>
      <w:r>
        <w:rPr>
          <w:rFonts w:hint="eastAsia" w:hAnsi="宋体" w:cs="宋体"/>
          <w:sz w:val="21"/>
          <w:szCs w:val="21"/>
        </w:rPr>
        <w:t>日期：年月日</w:t>
      </w:r>
    </w:p>
    <w:p>
      <w:pPr>
        <w:rPr>
          <w:rFonts w:hAnsi="宋体" w:cs="宋体"/>
        </w:rPr>
        <w:sectPr>
          <w:footerReference r:id="rId6" w:type="default"/>
          <w:pgSz w:w="11910" w:h="16840"/>
          <w:pgMar w:top="1440" w:right="1800" w:bottom="1440" w:left="1800" w:header="0" w:footer="1200" w:gutter="0"/>
          <w:cols w:space="720" w:num="1"/>
          <w:docGrid w:linePitch="299" w:charSpace="0"/>
        </w:sectPr>
      </w:pPr>
    </w:p>
    <w:p>
      <w:pPr>
        <w:spacing w:before="52"/>
        <w:ind w:left="331"/>
        <w:rPr>
          <w:rFonts w:hAnsi="宋体" w:cs="宋体"/>
          <w:sz w:val="21"/>
          <w:szCs w:val="21"/>
        </w:rPr>
      </w:pPr>
      <w:r>
        <w:rPr>
          <w:rFonts w:hint="eastAsia" w:hAnsi="宋体" w:cs="宋体"/>
          <w:sz w:val="21"/>
          <w:szCs w:val="21"/>
        </w:rPr>
        <w:t>附件 2</w:t>
      </w:r>
    </w:p>
    <w:p>
      <w:pPr>
        <w:pStyle w:val="5"/>
        <w:jc w:val="center"/>
        <w:rPr>
          <w:rFonts w:hAnsi="宋体" w:cs="宋体"/>
          <w:sz w:val="21"/>
          <w:szCs w:val="21"/>
        </w:rPr>
      </w:pPr>
      <w:r>
        <w:rPr>
          <w:rFonts w:hint="eastAsia" w:hAnsi="宋体" w:cs="宋体"/>
          <w:sz w:val="21"/>
          <w:szCs w:val="21"/>
        </w:rPr>
        <w:t>审计廉洁承诺书</w:t>
      </w:r>
    </w:p>
    <w:p>
      <w:pPr>
        <w:spacing w:line="446" w:lineRule="auto"/>
        <w:ind w:right="84" w:firstLine="420"/>
        <w:rPr>
          <w:rFonts w:hAnsi="宋体" w:cs="宋体"/>
          <w:sz w:val="21"/>
          <w:szCs w:val="21"/>
        </w:rPr>
      </w:pPr>
      <w:r>
        <w:rPr>
          <w:rFonts w:hint="eastAsia" w:hAnsi="宋体" w:cs="宋体"/>
          <w:sz w:val="21"/>
          <w:szCs w:val="21"/>
        </w:rPr>
        <w:t>我公司参与</w:t>
      </w:r>
      <w:r>
        <w:rPr>
          <w:rFonts w:hint="eastAsia" w:hAnsi="宋体" w:cs="宋体"/>
          <w:sz w:val="21"/>
          <w:szCs w:val="21"/>
          <w:u w:val="single"/>
        </w:rPr>
        <w:tab/>
      </w:r>
      <w:r>
        <w:rPr>
          <w:rFonts w:hint="eastAsia" w:hAnsi="宋体" w:cs="宋体"/>
          <w:sz w:val="21"/>
          <w:szCs w:val="21"/>
          <w:u w:val="single"/>
        </w:rPr>
        <w:t xml:space="preserve">      </w:t>
      </w:r>
      <w:r>
        <w:rPr>
          <w:rFonts w:hint="eastAsia" w:hAnsi="宋体" w:cs="宋体"/>
          <w:sz w:val="21"/>
          <w:szCs w:val="21"/>
        </w:rPr>
        <w:t xml:space="preserve">项目竣工决算的审计工作，我公司成立了项目审计组，为了认真履行审计职责，保证审计质量，防范审计风险，严格审计纪律，审计组全体人员承诺如下：   </w:t>
      </w:r>
    </w:p>
    <w:p>
      <w:pPr>
        <w:spacing w:line="446" w:lineRule="auto"/>
        <w:ind w:right="84" w:firstLine="420"/>
        <w:rPr>
          <w:rFonts w:hAnsi="宋体" w:cs="宋体"/>
          <w:sz w:val="21"/>
          <w:szCs w:val="21"/>
        </w:rPr>
      </w:pPr>
      <w:r>
        <w:rPr>
          <w:rFonts w:hint="eastAsia" w:hAnsi="宋体" w:cs="宋体"/>
          <w:sz w:val="21"/>
          <w:szCs w:val="21"/>
        </w:rPr>
        <w:t>1.严格遵守国家法律、法规、规章，认真执行审计人员相关纪律规定和审计职业道德规范、廉洁纪律和回避制度。</w:t>
      </w:r>
    </w:p>
    <w:p>
      <w:pPr>
        <w:spacing w:line="446" w:lineRule="auto"/>
        <w:ind w:right="84" w:firstLine="420"/>
        <w:rPr>
          <w:rFonts w:hAnsi="宋体" w:cs="宋体"/>
          <w:sz w:val="21"/>
          <w:szCs w:val="21"/>
        </w:rPr>
      </w:pPr>
      <w:r>
        <w:rPr>
          <w:rFonts w:hint="eastAsia" w:hAnsi="宋体" w:cs="宋体"/>
          <w:sz w:val="21"/>
          <w:szCs w:val="21"/>
        </w:rPr>
        <w:t>2.</w:t>
      </w:r>
      <w:r>
        <w:rPr>
          <w:rFonts w:hint="eastAsia" w:hAnsi="宋体" w:cs="宋体"/>
          <w:sz w:val="21"/>
          <w:szCs w:val="21"/>
        </w:rPr>
        <w:tab/>
      </w:r>
      <w:r>
        <w:rPr>
          <w:rFonts w:hint="eastAsia" w:hAnsi="宋体" w:cs="宋体"/>
          <w:sz w:val="21"/>
          <w:szCs w:val="21"/>
        </w:rPr>
        <w:t>坚守客观、公正的执业原则，尽职守责，对收集的审计证据，形成的工作底稿、审计结论、审计报告的真实性、合法性负责。</w:t>
      </w:r>
    </w:p>
    <w:p>
      <w:pPr>
        <w:spacing w:line="446" w:lineRule="auto"/>
        <w:ind w:right="84" w:firstLine="420"/>
        <w:rPr>
          <w:rFonts w:hAnsi="宋体" w:cs="宋体"/>
          <w:sz w:val="21"/>
          <w:szCs w:val="21"/>
        </w:rPr>
      </w:pPr>
      <w:r>
        <w:rPr>
          <w:rFonts w:hint="eastAsia" w:hAnsi="宋体" w:cs="宋体"/>
          <w:sz w:val="21"/>
          <w:szCs w:val="21"/>
        </w:rPr>
        <w:t>3.</w:t>
      </w:r>
      <w:r>
        <w:rPr>
          <w:rFonts w:hint="eastAsia" w:hAnsi="宋体" w:cs="宋体"/>
          <w:sz w:val="21"/>
          <w:szCs w:val="21"/>
        </w:rPr>
        <w:tab/>
      </w:r>
      <w:r>
        <w:rPr>
          <w:rFonts w:hint="eastAsia" w:hAnsi="宋体" w:cs="宋体"/>
          <w:sz w:val="21"/>
          <w:szCs w:val="21"/>
        </w:rPr>
        <w:t>不接受被审计单位和关联方的宴请和娱乐性邀请。</w:t>
      </w:r>
    </w:p>
    <w:p>
      <w:pPr>
        <w:spacing w:line="446" w:lineRule="auto"/>
        <w:ind w:right="84" w:firstLine="420"/>
        <w:rPr>
          <w:rFonts w:hAnsi="宋体" w:cs="宋体"/>
          <w:sz w:val="21"/>
          <w:szCs w:val="21"/>
        </w:rPr>
      </w:pPr>
      <w:r>
        <w:rPr>
          <w:rFonts w:hint="eastAsia" w:hAnsi="宋体" w:cs="宋体"/>
          <w:sz w:val="21"/>
          <w:szCs w:val="21"/>
        </w:rPr>
        <w:t>4.</w:t>
      </w:r>
      <w:r>
        <w:rPr>
          <w:rFonts w:hint="eastAsia" w:hAnsi="宋体" w:cs="宋体"/>
          <w:sz w:val="21"/>
          <w:szCs w:val="21"/>
        </w:rPr>
        <w:tab/>
      </w:r>
      <w:r>
        <w:rPr>
          <w:rFonts w:hint="eastAsia" w:hAnsi="宋体" w:cs="宋体"/>
          <w:sz w:val="21"/>
          <w:szCs w:val="21"/>
        </w:rPr>
        <w:t>不索取、收受合同约定报酬以外的现金、有价证券和其他财物。</w:t>
      </w:r>
    </w:p>
    <w:p>
      <w:pPr>
        <w:spacing w:line="446" w:lineRule="auto"/>
        <w:ind w:right="84" w:firstLine="420"/>
        <w:rPr>
          <w:rFonts w:hAnsi="宋体" w:cs="宋体"/>
          <w:sz w:val="21"/>
          <w:szCs w:val="21"/>
        </w:rPr>
      </w:pPr>
      <w:r>
        <w:rPr>
          <w:rFonts w:hint="eastAsia" w:hAnsi="宋体" w:cs="宋体"/>
          <w:sz w:val="21"/>
          <w:szCs w:val="21"/>
        </w:rPr>
        <w:t>5.</w:t>
      </w:r>
      <w:r>
        <w:rPr>
          <w:rFonts w:hint="eastAsia" w:hAnsi="宋体" w:cs="宋体"/>
          <w:sz w:val="21"/>
          <w:szCs w:val="21"/>
        </w:rPr>
        <w:tab/>
      </w:r>
      <w:r>
        <w:rPr>
          <w:rFonts w:hint="eastAsia" w:hAnsi="宋体" w:cs="宋体"/>
          <w:sz w:val="21"/>
          <w:szCs w:val="21"/>
        </w:rPr>
        <w:t>不利用工作之便谋取不正当的利益，本人及亲属不参与客户工程项目有关的材料和设备供应、工程承包等经济活动。</w:t>
      </w:r>
    </w:p>
    <w:p>
      <w:pPr>
        <w:spacing w:line="446" w:lineRule="auto"/>
        <w:ind w:right="84" w:firstLine="420"/>
        <w:rPr>
          <w:rFonts w:hAnsi="宋体" w:cs="宋体"/>
          <w:sz w:val="21"/>
          <w:szCs w:val="21"/>
        </w:rPr>
      </w:pPr>
      <w:r>
        <w:rPr>
          <w:rFonts w:hint="eastAsia" w:hAnsi="宋体" w:cs="宋体"/>
          <w:sz w:val="21"/>
          <w:szCs w:val="21"/>
        </w:rPr>
        <w:t>6.</w:t>
      </w:r>
      <w:r>
        <w:rPr>
          <w:rFonts w:hint="eastAsia" w:hAnsi="宋体" w:cs="宋体"/>
          <w:sz w:val="21"/>
          <w:szCs w:val="21"/>
        </w:rPr>
        <w:tab/>
      </w:r>
      <w:r>
        <w:rPr>
          <w:rFonts w:hint="eastAsia" w:hAnsi="宋体" w:cs="宋体"/>
          <w:sz w:val="21"/>
          <w:szCs w:val="21"/>
        </w:rPr>
        <w:t>发现虚假材料或事实及时报告、不隐瞒重要事实或者有其他弄虚作假行为。</w:t>
      </w:r>
    </w:p>
    <w:p>
      <w:pPr>
        <w:spacing w:line="446" w:lineRule="auto"/>
        <w:ind w:right="84" w:firstLine="420"/>
        <w:rPr>
          <w:rFonts w:hAnsi="宋体" w:cs="宋体"/>
          <w:sz w:val="21"/>
          <w:szCs w:val="21"/>
        </w:rPr>
      </w:pPr>
      <w:r>
        <w:rPr>
          <w:rFonts w:hint="eastAsia" w:hAnsi="宋体" w:cs="宋体"/>
          <w:sz w:val="21"/>
          <w:szCs w:val="21"/>
        </w:rPr>
        <w:t>7.</w:t>
      </w:r>
      <w:r>
        <w:rPr>
          <w:rFonts w:hint="eastAsia" w:hAnsi="宋体" w:cs="宋体"/>
          <w:sz w:val="21"/>
          <w:szCs w:val="21"/>
        </w:rPr>
        <w:tab/>
      </w:r>
      <w:r>
        <w:rPr>
          <w:rFonts w:hint="eastAsia" w:hAnsi="宋体" w:cs="宋体"/>
          <w:sz w:val="21"/>
          <w:szCs w:val="21"/>
        </w:rPr>
        <w:t>在审计期间，不得在项目工作地参与赌博、旅游等活动。</w:t>
      </w:r>
    </w:p>
    <w:p>
      <w:pPr>
        <w:spacing w:line="446" w:lineRule="auto"/>
        <w:ind w:right="84" w:firstLine="420"/>
        <w:rPr>
          <w:rFonts w:hAnsi="宋体" w:cs="宋体"/>
          <w:sz w:val="21"/>
          <w:szCs w:val="21"/>
        </w:rPr>
      </w:pPr>
      <w:r>
        <w:rPr>
          <w:rFonts w:hint="eastAsia" w:hAnsi="宋体" w:cs="宋体"/>
          <w:sz w:val="21"/>
          <w:szCs w:val="21"/>
        </w:rPr>
        <w:t>我公司或审计组全体人员如果违背以上承诺，在任何时期被查证属实，每出现一次，愿意接受 2 万元违约金处罚，违约金不足以弥补甲方或丙方损失的，我公司及审计组全体人员自愿承担超出部分的经济赔偿责任。</w:t>
      </w:r>
    </w:p>
    <w:p>
      <w:pPr>
        <w:pStyle w:val="2"/>
        <w:rPr>
          <w:rFonts w:ascii="仿宋_GB2312" w:eastAsia="仿宋_GB2312"/>
        </w:rPr>
      </w:pPr>
    </w:p>
    <w:p>
      <w:pPr>
        <w:spacing w:line="360" w:lineRule="auto"/>
        <w:ind w:left="331" w:right="668" w:firstLine="95"/>
        <w:rPr>
          <w:rFonts w:hAnsi="宋体" w:cs="宋体"/>
          <w:sz w:val="21"/>
          <w:szCs w:val="21"/>
        </w:rPr>
      </w:pPr>
      <w:r>
        <w:rPr>
          <w:rFonts w:hint="eastAsia" w:hAnsi="宋体" w:cs="宋体"/>
          <w:sz w:val="21"/>
          <w:szCs w:val="21"/>
        </w:rPr>
        <w:t>审计单位盖章：</w:t>
      </w:r>
    </w:p>
    <w:p>
      <w:pPr>
        <w:spacing w:line="360" w:lineRule="auto"/>
        <w:ind w:left="331" w:right="668" w:firstLine="95"/>
        <w:rPr>
          <w:rFonts w:hAnsi="宋体" w:cs="宋体"/>
          <w:sz w:val="21"/>
          <w:szCs w:val="21"/>
        </w:rPr>
      </w:pPr>
      <w:r>
        <w:rPr>
          <w:rFonts w:hint="eastAsia" w:hAnsi="宋体" w:cs="宋体"/>
          <w:sz w:val="21"/>
          <w:szCs w:val="21"/>
        </w:rPr>
        <w:t>承诺人（项目审计组全体人员签名）：</w:t>
      </w:r>
    </w:p>
    <w:p>
      <w:pPr>
        <w:spacing w:line="360" w:lineRule="auto"/>
        <w:ind w:firstLine="424" w:firstLineChars="202"/>
        <w:rPr>
          <w:rFonts w:hAnsi="宋体" w:cs="宋体"/>
          <w:sz w:val="21"/>
          <w:szCs w:val="21"/>
        </w:rPr>
      </w:pPr>
      <w:r>
        <w:rPr>
          <w:rFonts w:hint="eastAsia" w:hAnsi="宋体" w:cs="宋体"/>
          <w:sz w:val="21"/>
          <w:szCs w:val="21"/>
        </w:rPr>
        <w:t xml:space="preserve">签订时间： </w:t>
      </w:r>
      <w:r>
        <w:rPr>
          <w:rFonts w:hint="eastAsia" w:hAnsi="宋体" w:cs="宋体"/>
          <w:sz w:val="21"/>
          <w:szCs w:val="21"/>
        </w:rPr>
        <w:tab/>
      </w:r>
      <w:r>
        <w:rPr>
          <w:rFonts w:hint="eastAsia" w:hAnsi="宋体" w:cs="宋体"/>
          <w:sz w:val="21"/>
          <w:szCs w:val="21"/>
        </w:rPr>
        <w:t xml:space="preserve">年 </w:t>
      </w:r>
      <w:r>
        <w:rPr>
          <w:rFonts w:hint="eastAsia" w:hAnsi="宋体" w:cs="宋体"/>
          <w:sz w:val="21"/>
          <w:szCs w:val="21"/>
        </w:rPr>
        <w:tab/>
      </w:r>
      <w:r>
        <w:rPr>
          <w:rFonts w:hint="eastAsia" w:hAnsi="宋体" w:cs="宋体"/>
          <w:sz w:val="21"/>
          <w:szCs w:val="21"/>
        </w:rPr>
        <w:t xml:space="preserve">月 </w:t>
      </w:r>
      <w:r>
        <w:rPr>
          <w:rFonts w:hint="eastAsia" w:hAnsi="宋体" w:cs="宋体"/>
          <w:sz w:val="21"/>
          <w:szCs w:val="21"/>
        </w:rPr>
        <w:tab/>
      </w:r>
      <w:r>
        <w:rPr>
          <w:rFonts w:hint="eastAsia" w:hAnsi="宋体" w:cs="宋体"/>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à.ā">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884775"/>
    </w:sdtPr>
    <w:sdtEndPr>
      <w:rPr>
        <w:sz w:val="22"/>
      </w:rPr>
    </w:sdtEndPr>
    <w:sdtContent>
      <w:p>
        <w:pPr>
          <w:pStyle w:val="2"/>
          <w:jc w:val="center"/>
          <w:rPr>
            <w:sz w:val="22"/>
          </w:rPr>
        </w:pPr>
        <w:r>
          <w:rPr>
            <w:sz w:val="22"/>
          </w:rPr>
          <w:fldChar w:fldCharType="begin"/>
        </w:r>
        <w:r>
          <w:rPr>
            <w:sz w:val="22"/>
          </w:rPr>
          <w:instrText xml:space="preserve">PAGE   \* MERGEFORMAT</w:instrText>
        </w:r>
        <w:r>
          <w:rPr>
            <w:sz w:val="22"/>
          </w:rPr>
          <w:fldChar w:fldCharType="separate"/>
        </w:r>
        <w:r>
          <w:rPr>
            <w:sz w:val="22"/>
          </w:rPr>
          <w:t>5</w:t>
        </w:r>
        <w:r>
          <w:rPr>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925501"/>
    </w:sdtPr>
    <w:sdtEndPr>
      <w:rPr>
        <w:sz w:val="22"/>
      </w:rPr>
    </w:sdtEndPr>
    <w:sdtContent>
      <w:p>
        <w:pPr>
          <w:pStyle w:val="2"/>
          <w:jc w:val="center"/>
          <w:rPr>
            <w:sz w:val="22"/>
          </w:rPr>
        </w:pPr>
        <w:r>
          <w:rPr>
            <w:sz w:val="22"/>
          </w:rPr>
          <w:fldChar w:fldCharType="begin"/>
        </w:r>
        <w:r>
          <w:rPr>
            <w:sz w:val="22"/>
          </w:rPr>
          <w:instrText xml:space="preserve">PAGE   \* MERGEFORMAT</w:instrText>
        </w:r>
        <w:r>
          <w:rPr>
            <w:sz w:val="22"/>
          </w:rPr>
          <w:fldChar w:fldCharType="separate"/>
        </w:r>
        <w:r>
          <w:rPr>
            <w:sz w:val="22"/>
          </w:rPr>
          <w:t>49</w:t>
        </w:r>
        <w:r>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262238"/>
    </w:sdtPr>
    <w:sdtEndPr>
      <w:rPr>
        <w:sz w:val="22"/>
      </w:rPr>
    </w:sdtEndPr>
    <w:sdtContent>
      <w:p>
        <w:pPr>
          <w:pStyle w:val="2"/>
          <w:jc w:val="center"/>
          <w:rPr>
            <w:sz w:val="22"/>
          </w:rPr>
        </w:pPr>
        <w:r>
          <w:rPr>
            <w:sz w:val="22"/>
          </w:rPr>
          <w:fldChar w:fldCharType="begin"/>
        </w:r>
        <w:r>
          <w:rPr>
            <w:sz w:val="22"/>
          </w:rPr>
          <w:instrText xml:space="preserve">PAGE   \* MERGEFORMAT</w:instrText>
        </w:r>
        <w:r>
          <w:rPr>
            <w:sz w:val="22"/>
          </w:rPr>
          <w:fldChar w:fldCharType="separate"/>
        </w:r>
        <w:r>
          <w:rPr>
            <w:sz w:val="22"/>
          </w:rPr>
          <w:t>53</w:t>
        </w:r>
        <w:r>
          <w:rPr>
            <w:sz w:val="22"/>
          </w:rPr>
          <w:fldChar w:fldCharType="end"/>
        </w:r>
      </w:p>
    </w:sdtContent>
  </w:sdt>
  <w:p>
    <w:pPr>
      <w:pStyle w:val="1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006555"/>
    </w:sdtPr>
    <w:sdtEndPr>
      <w:rPr>
        <w:sz w:val="22"/>
      </w:rPr>
    </w:sdtEndPr>
    <w:sdtContent>
      <w:p>
        <w:pPr>
          <w:pStyle w:val="2"/>
          <w:jc w:val="center"/>
          <w:rPr>
            <w:sz w:val="22"/>
          </w:rPr>
        </w:pPr>
        <w:r>
          <w:rPr>
            <w:sz w:val="22"/>
          </w:rPr>
          <w:fldChar w:fldCharType="begin"/>
        </w:r>
        <w:r>
          <w:rPr>
            <w:sz w:val="22"/>
          </w:rPr>
          <w:instrText xml:space="preserve">PAGE   \* MERGEFORMAT</w:instrText>
        </w:r>
        <w:r>
          <w:rPr>
            <w:sz w:val="22"/>
          </w:rPr>
          <w:fldChar w:fldCharType="separate"/>
        </w:r>
        <w:r>
          <w:rPr>
            <w:sz w:val="22"/>
          </w:rPr>
          <w:t>58</w:t>
        </w:r>
        <w:r>
          <w:rPr>
            <w:sz w:val="22"/>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555CE"/>
    <w:multiLevelType w:val="singleLevel"/>
    <w:tmpl w:val="8A5555CE"/>
    <w:lvl w:ilvl="0" w:tentative="0">
      <w:start w:val="1"/>
      <w:numFmt w:val="decimal"/>
      <w:suff w:val="nothing"/>
      <w:lvlText w:val="%1．"/>
      <w:lvlJc w:val="left"/>
      <w:pPr>
        <w:ind w:left="0" w:firstLine="400"/>
      </w:pPr>
      <w:rPr>
        <w:rFonts w:hint="default"/>
      </w:rPr>
    </w:lvl>
  </w:abstractNum>
  <w:abstractNum w:abstractNumId="1">
    <w:nsid w:val="E6126E29"/>
    <w:multiLevelType w:val="singleLevel"/>
    <w:tmpl w:val="E6126E29"/>
    <w:lvl w:ilvl="0" w:tentative="0">
      <w:start w:val="2"/>
      <w:numFmt w:val="chineseCounting"/>
      <w:suff w:val="nothing"/>
      <w:lvlText w:val="（%1）"/>
      <w:lvlJc w:val="left"/>
      <w:rPr>
        <w:rFonts w:hint="eastAsia"/>
      </w:rPr>
    </w:lvl>
  </w:abstractNum>
  <w:abstractNum w:abstractNumId="2">
    <w:nsid w:val="076A2606"/>
    <w:multiLevelType w:val="multilevel"/>
    <w:tmpl w:val="076A2606"/>
    <w:lvl w:ilvl="0" w:tentative="0">
      <w:start w:val="1"/>
      <w:numFmt w:val="decimal"/>
      <w:suff w:val="space"/>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112851CB"/>
    <w:multiLevelType w:val="multilevel"/>
    <w:tmpl w:val="112851CB"/>
    <w:lvl w:ilvl="0" w:tentative="0">
      <w:start w:val="1"/>
      <w:numFmt w:val="decimal"/>
      <w:suff w:val="space"/>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240627D9"/>
    <w:multiLevelType w:val="multilevel"/>
    <w:tmpl w:val="240627D9"/>
    <w:lvl w:ilvl="0" w:tentative="0">
      <w:start w:val="1"/>
      <w:numFmt w:val="decimal"/>
      <w:suff w:val="nothing"/>
      <w:lvlText w:val="%1."/>
      <w:lvlJc w:val="left"/>
      <w:pPr>
        <w:ind w:left="1170" w:hanging="420"/>
      </w:pPr>
      <w:rPr>
        <w:rFonts w:hint="default" w:ascii="宋体" w:hAnsi="宋体" w:eastAsia="宋体" w:cs="宋体"/>
        <w:w w:val="100"/>
        <w:sz w:val="22"/>
        <w:szCs w:val="22"/>
        <w:lang w:val="zh-CN" w:eastAsia="zh-CN" w:bidi="zh-CN"/>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267D30CE"/>
    <w:multiLevelType w:val="multilevel"/>
    <w:tmpl w:val="267D30CE"/>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33307DD6"/>
    <w:multiLevelType w:val="multilevel"/>
    <w:tmpl w:val="33307DD6"/>
    <w:lvl w:ilvl="0" w:tentative="0">
      <w:start w:val="1"/>
      <w:numFmt w:val="decimal"/>
      <w:lvlText w:val="%1."/>
      <w:lvlJc w:val="left"/>
      <w:pPr>
        <w:ind w:left="844" w:hanging="420"/>
      </w:pPr>
      <w:rPr>
        <w:rFonts w:hint="default" w:ascii="宋体" w:hAnsi="宋体" w:eastAsia="宋体" w:cs="宋体"/>
        <w:w w:val="100"/>
        <w:sz w:val="22"/>
        <w:szCs w:val="22"/>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3F5A1061"/>
    <w:multiLevelType w:val="multilevel"/>
    <w:tmpl w:val="3F5A1061"/>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60422DD"/>
    <w:multiLevelType w:val="multilevel"/>
    <w:tmpl w:val="560422DD"/>
    <w:lvl w:ilvl="0" w:tentative="0">
      <w:start w:val="1"/>
      <w:numFmt w:val="decimal"/>
      <w:suff w:val="space"/>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9">
    <w:nsid w:val="57424BCD"/>
    <w:multiLevelType w:val="multilevel"/>
    <w:tmpl w:val="57424BCD"/>
    <w:lvl w:ilvl="0" w:tentative="0">
      <w:start w:val="1"/>
      <w:numFmt w:val="decimal"/>
      <w:suff w:val="space"/>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61170DA1"/>
    <w:multiLevelType w:val="multilevel"/>
    <w:tmpl w:val="61170DA1"/>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F5153F"/>
    <w:multiLevelType w:val="multilevel"/>
    <w:tmpl w:val="66F5153F"/>
    <w:lvl w:ilvl="0" w:tentative="0">
      <w:start w:val="1"/>
      <w:numFmt w:val="decimal"/>
      <w:suff w:val="space"/>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732113B1"/>
    <w:multiLevelType w:val="multilevel"/>
    <w:tmpl w:val="732113B1"/>
    <w:lvl w:ilvl="0" w:tentative="0">
      <w:start w:val="1"/>
      <w:numFmt w:val="decimal"/>
      <w:lvlText w:val="%1."/>
      <w:lvlJc w:val="left"/>
      <w:pPr>
        <w:ind w:left="420" w:hanging="420"/>
      </w:pPr>
      <w:rPr>
        <w:rFonts w:hint="default" w:ascii="宋体" w:hAnsi="宋体" w:eastAsia="宋体" w:cs="宋体"/>
        <w:w w:val="100"/>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CB32D0E"/>
    <w:multiLevelType w:val="multilevel"/>
    <w:tmpl w:val="7CB32D0E"/>
    <w:lvl w:ilvl="0" w:tentative="0">
      <w:start w:val="1"/>
      <w:numFmt w:val="decimal"/>
      <w:suff w:val="space"/>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5"/>
  </w:num>
  <w:num w:numId="2">
    <w:abstractNumId w:val="10"/>
  </w:num>
  <w:num w:numId="3">
    <w:abstractNumId w:val="11"/>
  </w:num>
  <w:num w:numId="4">
    <w:abstractNumId w:val="7"/>
  </w:num>
  <w:num w:numId="5">
    <w:abstractNumId w:val="12"/>
  </w:num>
  <w:num w:numId="6">
    <w:abstractNumId w:val="1"/>
  </w:num>
  <w:num w:numId="7">
    <w:abstractNumId w:val="13"/>
  </w:num>
  <w:num w:numId="8">
    <w:abstractNumId w:val="9"/>
  </w:num>
  <w:num w:numId="9">
    <w:abstractNumId w:val="2"/>
  </w:num>
  <w:num w:numId="10">
    <w:abstractNumId w:val="3"/>
  </w:num>
  <w:num w:numId="11">
    <w:abstractNumId w:val="8"/>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NDc1YTc0NWE2ZTUzYjhmMTI4MDA5Y2NlNTIwMDIifQ=="/>
  </w:docVars>
  <w:rsids>
    <w:rsidRoot w:val="FFFB2263"/>
    <w:rsid w:val="000001A5"/>
    <w:rsid w:val="000009F0"/>
    <w:rsid w:val="000120CB"/>
    <w:rsid w:val="0001218E"/>
    <w:rsid w:val="00014C5A"/>
    <w:rsid w:val="000159B7"/>
    <w:rsid w:val="00015C1E"/>
    <w:rsid w:val="00017864"/>
    <w:rsid w:val="00017BC7"/>
    <w:rsid w:val="0002009F"/>
    <w:rsid w:val="00020DD3"/>
    <w:rsid w:val="00021860"/>
    <w:rsid w:val="0002490D"/>
    <w:rsid w:val="00024DF4"/>
    <w:rsid w:val="00024EDB"/>
    <w:rsid w:val="00027679"/>
    <w:rsid w:val="0003057B"/>
    <w:rsid w:val="0003217B"/>
    <w:rsid w:val="00032589"/>
    <w:rsid w:val="00035053"/>
    <w:rsid w:val="00035BAE"/>
    <w:rsid w:val="00037EA1"/>
    <w:rsid w:val="00041C1D"/>
    <w:rsid w:val="000472AD"/>
    <w:rsid w:val="00047DD2"/>
    <w:rsid w:val="000533AD"/>
    <w:rsid w:val="00055C96"/>
    <w:rsid w:val="00056F2F"/>
    <w:rsid w:val="00057F77"/>
    <w:rsid w:val="00072FE0"/>
    <w:rsid w:val="0007321B"/>
    <w:rsid w:val="00074A1C"/>
    <w:rsid w:val="000771DD"/>
    <w:rsid w:val="00083A8F"/>
    <w:rsid w:val="00083EB8"/>
    <w:rsid w:val="00086938"/>
    <w:rsid w:val="000900E1"/>
    <w:rsid w:val="00090D90"/>
    <w:rsid w:val="000914A4"/>
    <w:rsid w:val="000916F2"/>
    <w:rsid w:val="00094C99"/>
    <w:rsid w:val="00096CB3"/>
    <w:rsid w:val="00096F15"/>
    <w:rsid w:val="000A0388"/>
    <w:rsid w:val="000A162B"/>
    <w:rsid w:val="000A4471"/>
    <w:rsid w:val="000A7C6D"/>
    <w:rsid w:val="000B0178"/>
    <w:rsid w:val="000B0B52"/>
    <w:rsid w:val="000B15ED"/>
    <w:rsid w:val="000B1BB7"/>
    <w:rsid w:val="000B218D"/>
    <w:rsid w:val="000B4584"/>
    <w:rsid w:val="000B50A6"/>
    <w:rsid w:val="000B5D76"/>
    <w:rsid w:val="000B6706"/>
    <w:rsid w:val="000C0E79"/>
    <w:rsid w:val="000C5CB3"/>
    <w:rsid w:val="000C6C15"/>
    <w:rsid w:val="000D46CF"/>
    <w:rsid w:val="000D4EA4"/>
    <w:rsid w:val="000D61D6"/>
    <w:rsid w:val="000D6683"/>
    <w:rsid w:val="000D6D57"/>
    <w:rsid w:val="000D7622"/>
    <w:rsid w:val="000D777D"/>
    <w:rsid w:val="000E28EC"/>
    <w:rsid w:val="000E2E4B"/>
    <w:rsid w:val="000E377F"/>
    <w:rsid w:val="000E5F9D"/>
    <w:rsid w:val="000F04C8"/>
    <w:rsid w:val="000F24C6"/>
    <w:rsid w:val="000F32C1"/>
    <w:rsid w:val="000F6A26"/>
    <w:rsid w:val="00103C42"/>
    <w:rsid w:val="00107F64"/>
    <w:rsid w:val="001116EF"/>
    <w:rsid w:val="00117773"/>
    <w:rsid w:val="00124251"/>
    <w:rsid w:val="00125787"/>
    <w:rsid w:val="001277E9"/>
    <w:rsid w:val="0013307A"/>
    <w:rsid w:val="00137D97"/>
    <w:rsid w:val="00140FA9"/>
    <w:rsid w:val="0014280B"/>
    <w:rsid w:val="001460E0"/>
    <w:rsid w:val="00146972"/>
    <w:rsid w:val="0015396E"/>
    <w:rsid w:val="00153BB7"/>
    <w:rsid w:val="001557C1"/>
    <w:rsid w:val="001562B3"/>
    <w:rsid w:val="00157FAD"/>
    <w:rsid w:val="0016066F"/>
    <w:rsid w:val="00161514"/>
    <w:rsid w:val="00161981"/>
    <w:rsid w:val="00161DDE"/>
    <w:rsid w:val="00161DFE"/>
    <w:rsid w:val="001626A3"/>
    <w:rsid w:val="00166761"/>
    <w:rsid w:val="00167EE6"/>
    <w:rsid w:val="00167F85"/>
    <w:rsid w:val="00170FDF"/>
    <w:rsid w:val="00172DAA"/>
    <w:rsid w:val="00172F2C"/>
    <w:rsid w:val="001759CD"/>
    <w:rsid w:val="00177502"/>
    <w:rsid w:val="0018305D"/>
    <w:rsid w:val="0018696E"/>
    <w:rsid w:val="0019015C"/>
    <w:rsid w:val="00191BFD"/>
    <w:rsid w:val="00193D02"/>
    <w:rsid w:val="00194B14"/>
    <w:rsid w:val="0019690F"/>
    <w:rsid w:val="00196EA3"/>
    <w:rsid w:val="001A025B"/>
    <w:rsid w:val="001A2893"/>
    <w:rsid w:val="001A3CB2"/>
    <w:rsid w:val="001A56EF"/>
    <w:rsid w:val="001A72A3"/>
    <w:rsid w:val="001B04E3"/>
    <w:rsid w:val="001B12B4"/>
    <w:rsid w:val="001B1779"/>
    <w:rsid w:val="001B2477"/>
    <w:rsid w:val="001B5B9F"/>
    <w:rsid w:val="001B627C"/>
    <w:rsid w:val="001B7CE2"/>
    <w:rsid w:val="001C184F"/>
    <w:rsid w:val="001C1D1C"/>
    <w:rsid w:val="001C25FA"/>
    <w:rsid w:val="001C3DF0"/>
    <w:rsid w:val="001C4E22"/>
    <w:rsid w:val="001C6E2F"/>
    <w:rsid w:val="001C754E"/>
    <w:rsid w:val="001D1677"/>
    <w:rsid w:val="001D2A6F"/>
    <w:rsid w:val="001D36A7"/>
    <w:rsid w:val="001D3C15"/>
    <w:rsid w:val="001D4C76"/>
    <w:rsid w:val="001D69F9"/>
    <w:rsid w:val="001E11B9"/>
    <w:rsid w:val="001E16BA"/>
    <w:rsid w:val="001E241C"/>
    <w:rsid w:val="001E7270"/>
    <w:rsid w:val="001F1F9F"/>
    <w:rsid w:val="001F2AC7"/>
    <w:rsid w:val="0020535E"/>
    <w:rsid w:val="00206D86"/>
    <w:rsid w:val="00206F18"/>
    <w:rsid w:val="002103D2"/>
    <w:rsid w:val="00212BA8"/>
    <w:rsid w:val="00213720"/>
    <w:rsid w:val="00214944"/>
    <w:rsid w:val="00221119"/>
    <w:rsid w:val="00224E8F"/>
    <w:rsid w:val="0022639A"/>
    <w:rsid w:val="00226423"/>
    <w:rsid w:val="00226953"/>
    <w:rsid w:val="0023285D"/>
    <w:rsid w:val="00233DFB"/>
    <w:rsid w:val="0023466B"/>
    <w:rsid w:val="00235DFC"/>
    <w:rsid w:val="0023720E"/>
    <w:rsid w:val="002432F6"/>
    <w:rsid w:val="00244CE6"/>
    <w:rsid w:val="00245170"/>
    <w:rsid w:val="0025107E"/>
    <w:rsid w:val="0025470F"/>
    <w:rsid w:val="00255436"/>
    <w:rsid w:val="002615F6"/>
    <w:rsid w:val="00261BAC"/>
    <w:rsid w:val="00263125"/>
    <w:rsid w:val="00266C0B"/>
    <w:rsid w:val="002674CC"/>
    <w:rsid w:val="00267C13"/>
    <w:rsid w:val="00267F8D"/>
    <w:rsid w:val="00273185"/>
    <w:rsid w:val="00274DE7"/>
    <w:rsid w:val="002822F6"/>
    <w:rsid w:val="00282737"/>
    <w:rsid w:val="002832F3"/>
    <w:rsid w:val="00285FB7"/>
    <w:rsid w:val="00286FC8"/>
    <w:rsid w:val="002972AA"/>
    <w:rsid w:val="00297A9E"/>
    <w:rsid w:val="002A1739"/>
    <w:rsid w:val="002A4769"/>
    <w:rsid w:val="002A4D1C"/>
    <w:rsid w:val="002A4DD8"/>
    <w:rsid w:val="002A51C0"/>
    <w:rsid w:val="002C0A93"/>
    <w:rsid w:val="002C2C30"/>
    <w:rsid w:val="002C3122"/>
    <w:rsid w:val="002C36D1"/>
    <w:rsid w:val="002C378E"/>
    <w:rsid w:val="002D115C"/>
    <w:rsid w:val="002D1513"/>
    <w:rsid w:val="002D2408"/>
    <w:rsid w:val="002D265C"/>
    <w:rsid w:val="002D5BEC"/>
    <w:rsid w:val="002D7908"/>
    <w:rsid w:val="002E2A29"/>
    <w:rsid w:val="002E35A1"/>
    <w:rsid w:val="002F2614"/>
    <w:rsid w:val="002F27A8"/>
    <w:rsid w:val="002F52C6"/>
    <w:rsid w:val="002F58B9"/>
    <w:rsid w:val="002F6446"/>
    <w:rsid w:val="003010E9"/>
    <w:rsid w:val="00301E9E"/>
    <w:rsid w:val="00303607"/>
    <w:rsid w:val="00303D6D"/>
    <w:rsid w:val="0030611B"/>
    <w:rsid w:val="003067BB"/>
    <w:rsid w:val="00310C42"/>
    <w:rsid w:val="0031170B"/>
    <w:rsid w:val="00314750"/>
    <w:rsid w:val="00317535"/>
    <w:rsid w:val="003176D9"/>
    <w:rsid w:val="0032007E"/>
    <w:rsid w:val="00320A49"/>
    <w:rsid w:val="003225E9"/>
    <w:rsid w:val="003232D2"/>
    <w:rsid w:val="00324342"/>
    <w:rsid w:val="00324A51"/>
    <w:rsid w:val="00324DFA"/>
    <w:rsid w:val="00325504"/>
    <w:rsid w:val="00330534"/>
    <w:rsid w:val="00331D44"/>
    <w:rsid w:val="003337D1"/>
    <w:rsid w:val="00333AA7"/>
    <w:rsid w:val="00334141"/>
    <w:rsid w:val="003341CD"/>
    <w:rsid w:val="00334D08"/>
    <w:rsid w:val="0033743C"/>
    <w:rsid w:val="00337E8B"/>
    <w:rsid w:val="003410D7"/>
    <w:rsid w:val="00341EBD"/>
    <w:rsid w:val="00345339"/>
    <w:rsid w:val="0035106C"/>
    <w:rsid w:val="00351F15"/>
    <w:rsid w:val="00355899"/>
    <w:rsid w:val="003623BA"/>
    <w:rsid w:val="003624F5"/>
    <w:rsid w:val="00363D62"/>
    <w:rsid w:val="0037069B"/>
    <w:rsid w:val="00374527"/>
    <w:rsid w:val="003778A4"/>
    <w:rsid w:val="0038675C"/>
    <w:rsid w:val="003905E3"/>
    <w:rsid w:val="00393610"/>
    <w:rsid w:val="0039366A"/>
    <w:rsid w:val="003947DC"/>
    <w:rsid w:val="00397A0B"/>
    <w:rsid w:val="003A2256"/>
    <w:rsid w:val="003A4906"/>
    <w:rsid w:val="003A4B2D"/>
    <w:rsid w:val="003A641C"/>
    <w:rsid w:val="003A677E"/>
    <w:rsid w:val="003B0219"/>
    <w:rsid w:val="003B31CD"/>
    <w:rsid w:val="003C05E8"/>
    <w:rsid w:val="003C1A15"/>
    <w:rsid w:val="003C405D"/>
    <w:rsid w:val="003C73CB"/>
    <w:rsid w:val="003D1AD8"/>
    <w:rsid w:val="003D244E"/>
    <w:rsid w:val="003D250C"/>
    <w:rsid w:val="003D38EA"/>
    <w:rsid w:val="003D398F"/>
    <w:rsid w:val="003D4149"/>
    <w:rsid w:val="003D717B"/>
    <w:rsid w:val="003D7D7E"/>
    <w:rsid w:val="003E0106"/>
    <w:rsid w:val="003E0E21"/>
    <w:rsid w:val="003E3384"/>
    <w:rsid w:val="003E63A8"/>
    <w:rsid w:val="003E7BC7"/>
    <w:rsid w:val="003E7E36"/>
    <w:rsid w:val="003F111A"/>
    <w:rsid w:val="003F254F"/>
    <w:rsid w:val="003F35FB"/>
    <w:rsid w:val="003F5B28"/>
    <w:rsid w:val="00401BDA"/>
    <w:rsid w:val="004024FA"/>
    <w:rsid w:val="00407F66"/>
    <w:rsid w:val="0041331E"/>
    <w:rsid w:val="00413787"/>
    <w:rsid w:val="00415E28"/>
    <w:rsid w:val="004175A9"/>
    <w:rsid w:val="004179F8"/>
    <w:rsid w:val="0042078B"/>
    <w:rsid w:val="00420968"/>
    <w:rsid w:val="00424F51"/>
    <w:rsid w:val="00431BAA"/>
    <w:rsid w:val="00434E3E"/>
    <w:rsid w:val="00434EC5"/>
    <w:rsid w:val="00436952"/>
    <w:rsid w:val="00441F49"/>
    <w:rsid w:val="0044704A"/>
    <w:rsid w:val="00451837"/>
    <w:rsid w:val="00455603"/>
    <w:rsid w:val="004615B3"/>
    <w:rsid w:val="00461640"/>
    <w:rsid w:val="00462C3E"/>
    <w:rsid w:val="00462F70"/>
    <w:rsid w:val="00464111"/>
    <w:rsid w:val="00470120"/>
    <w:rsid w:val="004734F5"/>
    <w:rsid w:val="00475DD6"/>
    <w:rsid w:val="00475E94"/>
    <w:rsid w:val="00484538"/>
    <w:rsid w:val="004865EB"/>
    <w:rsid w:val="00491EBE"/>
    <w:rsid w:val="00495103"/>
    <w:rsid w:val="0049523F"/>
    <w:rsid w:val="00497E66"/>
    <w:rsid w:val="004A5E39"/>
    <w:rsid w:val="004A648A"/>
    <w:rsid w:val="004A6BB6"/>
    <w:rsid w:val="004B298D"/>
    <w:rsid w:val="004B6FA0"/>
    <w:rsid w:val="004B771E"/>
    <w:rsid w:val="004C119C"/>
    <w:rsid w:val="004C24A2"/>
    <w:rsid w:val="004C37BC"/>
    <w:rsid w:val="004C5035"/>
    <w:rsid w:val="004C605C"/>
    <w:rsid w:val="004C7DF8"/>
    <w:rsid w:val="004D04A1"/>
    <w:rsid w:val="004D114B"/>
    <w:rsid w:val="004D169B"/>
    <w:rsid w:val="004D252C"/>
    <w:rsid w:val="004D7757"/>
    <w:rsid w:val="004E005A"/>
    <w:rsid w:val="004E3DBA"/>
    <w:rsid w:val="004E46DA"/>
    <w:rsid w:val="004E56A9"/>
    <w:rsid w:val="004E7D34"/>
    <w:rsid w:val="004F035A"/>
    <w:rsid w:val="004F175A"/>
    <w:rsid w:val="004F2D8C"/>
    <w:rsid w:val="004F2E03"/>
    <w:rsid w:val="004F552A"/>
    <w:rsid w:val="005008A8"/>
    <w:rsid w:val="005015D8"/>
    <w:rsid w:val="00506904"/>
    <w:rsid w:val="00507DC3"/>
    <w:rsid w:val="00510320"/>
    <w:rsid w:val="0051348C"/>
    <w:rsid w:val="00520384"/>
    <w:rsid w:val="005212CD"/>
    <w:rsid w:val="00521C5E"/>
    <w:rsid w:val="00522E27"/>
    <w:rsid w:val="00523E6B"/>
    <w:rsid w:val="005331D5"/>
    <w:rsid w:val="005358D1"/>
    <w:rsid w:val="00537F33"/>
    <w:rsid w:val="00540474"/>
    <w:rsid w:val="00540593"/>
    <w:rsid w:val="0054449D"/>
    <w:rsid w:val="0055141C"/>
    <w:rsid w:val="00551D0F"/>
    <w:rsid w:val="0055402F"/>
    <w:rsid w:val="005555EA"/>
    <w:rsid w:val="005572CF"/>
    <w:rsid w:val="00561511"/>
    <w:rsid w:val="00561CBA"/>
    <w:rsid w:val="00565EE1"/>
    <w:rsid w:val="0056624D"/>
    <w:rsid w:val="005665FB"/>
    <w:rsid w:val="00572F7E"/>
    <w:rsid w:val="005734B2"/>
    <w:rsid w:val="00573E24"/>
    <w:rsid w:val="00574783"/>
    <w:rsid w:val="00575458"/>
    <w:rsid w:val="00575964"/>
    <w:rsid w:val="005801B1"/>
    <w:rsid w:val="00581062"/>
    <w:rsid w:val="00587042"/>
    <w:rsid w:val="00587D01"/>
    <w:rsid w:val="00590070"/>
    <w:rsid w:val="00590E06"/>
    <w:rsid w:val="00594BF6"/>
    <w:rsid w:val="00595320"/>
    <w:rsid w:val="005959E4"/>
    <w:rsid w:val="005A0589"/>
    <w:rsid w:val="005B077E"/>
    <w:rsid w:val="005B543C"/>
    <w:rsid w:val="005B7FA9"/>
    <w:rsid w:val="005C02E6"/>
    <w:rsid w:val="005C51F0"/>
    <w:rsid w:val="005C55E5"/>
    <w:rsid w:val="005C5707"/>
    <w:rsid w:val="005C5973"/>
    <w:rsid w:val="005C6170"/>
    <w:rsid w:val="005C6EA0"/>
    <w:rsid w:val="005D5153"/>
    <w:rsid w:val="005D5561"/>
    <w:rsid w:val="005D6109"/>
    <w:rsid w:val="005E1520"/>
    <w:rsid w:val="005E20A3"/>
    <w:rsid w:val="005E34C5"/>
    <w:rsid w:val="005E3CB0"/>
    <w:rsid w:val="005E5997"/>
    <w:rsid w:val="005E5E45"/>
    <w:rsid w:val="005F2041"/>
    <w:rsid w:val="005F256E"/>
    <w:rsid w:val="005F3E82"/>
    <w:rsid w:val="00603F95"/>
    <w:rsid w:val="0061047F"/>
    <w:rsid w:val="00610EB3"/>
    <w:rsid w:val="00614355"/>
    <w:rsid w:val="0061620A"/>
    <w:rsid w:val="00621261"/>
    <w:rsid w:val="00621B2B"/>
    <w:rsid w:val="0062256B"/>
    <w:rsid w:val="006227D2"/>
    <w:rsid w:val="00627281"/>
    <w:rsid w:val="00633369"/>
    <w:rsid w:val="00635D3C"/>
    <w:rsid w:val="00636748"/>
    <w:rsid w:val="00637E15"/>
    <w:rsid w:val="0064094D"/>
    <w:rsid w:val="00641E6F"/>
    <w:rsid w:val="0064269B"/>
    <w:rsid w:val="006436EF"/>
    <w:rsid w:val="00646BDF"/>
    <w:rsid w:val="00651CA8"/>
    <w:rsid w:val="00653BB0"/>
    <w:rsid w:val="006568AE"/>
    <w:rsid w:val="00657F4B"/>
    <w:rsid w:val="006602CE"/>
    <w:rsid w:val="006606E1"/>
    <w:rsid w:val="006609EF"/>
    <w:rsid w:val="006637AE"/>
    <w:rsid w:val="006654FE"/>
    <w:rsid w:val="006658D4"/>
    <w:rsid w:val="00667878"/>
    <w:rsid w:val="00675DCA"/>
    <w:rsid w:val="00681B53"/>
    <w:rsid w:val="00683D76"/>
    <w:rsid w:val="006854A6"/>
    <w:rsid w:val="00686CBA"/>
    <w:rsid w:val="00692AB5"/>
    <w:rsid w:val="00696235"/>
    <w:rsid w:val="006978D8"/>
    <w:rsid w:val="006A055E"/>
    <w:rsid w:val="006A07D9"/>
    <w:rsid w:val="006A2680"/>
    <w:rsid w:val="006B2E47"/>
    <w:rsid w:val="006B31F1"/>
    <w:rsid w:val="006B40F2"/>
    <w:rsid w:val="006B48D5"/>
    <w:rsid w:val="006B4B5B"/>
    <w:rsid w:val="006C09A5"/>
    <w:rsid w:val="006D0B89"/>
    <w:rsid w:val="006D4FA8"/>
    <w:rsid w:val="006D571C"/>
    <w:rsid w:val="006D5F72"/>
    <w:rsid w:val="006D6159"/>
    <w:rsid w:val="006E082F"/>
    <w:rsid w:val="006E25AA"/>
    <w:rsid w:val="006E33CC"/>
    <w:rsid w:val="006E58E1"/>
    <w:rsid w:val="006E5AB7"/>
    <w:rsid w:val="006E68D0"/>
    <w:rsid w:val="006E731E"/>
    <w:rsid w:val="006E7668"/>
    <w:rsid w:val="006E7F93"/>
    <w:rsid w:val="006F1C4F"/>
    <w:rsid w:val="006F5128"/>
    <w:rsid w:val="006F7C29"/>
    <w:rsid w:val="00701286"/>
    <w:rsid w:val="00702A70"/>
    <w:rsid w:val="00703D72"/>
    <w:rsid w:val="00710910"/>
    <w:rsid w:val="00711254"/>
    <w:rsid w:val="0071185A"/>
    <w:rsid w:val="00711F78"/>
    <w:rsid w:val="0071286A"/>
    <w:rsid w:val="00712F43"/>
    <w:rsid w:val="00716717"/>
    <w:rsid w:val="00716B2D"/>
    <w:rsid w:val="00721D10"/>
    <w:rsid w:val="007220D2"/>
    <w:rsid w:val="00723E34"/>
    <w:rsid w:val="00733EAC"/>
    <w:rsid w:val="007363C9"/>
    <w:rsid w:val="007371F6"/>
    <w:rsid w:val="00737330"/>
    <w:rsid w:val="00737EB2"/>
    <w:rsid w:val="00747BCC"/>
    <w:rsid w:val="00750E97"/>
    <w:rsid w:val="007511D3"/>
    <w:rsid w:val="00752C1D"/>
    <w:rsid w:val="00760BB8"/>
    <w:rsid w:val="0076256E"/>
    <w:rsid w:val="00763A22"/>
    <w:rsid w:val="00763FE6"/>
    <w:rsid w:val="007675CB"/>
    <w:rsid w:val="007678F3"/>
    <w:rsid w:val="00767DDC"/>
    <w:rsid w:val="00767F9C"/>
    <w:rsid w:val="00770467"/>
    <w:rsid w:val="00771DBE"/>
    <w:rsid w:val="00773FE1"/>
    <w:rsid w:val="007773B5"/>
    <w:rsid w:val="0077743D"/>
    <w:rsid w:val="0077766F"/>
    <w:rsid w:val="0078105A"/>
    <w:rsid w:val="00781BC9"/>
    <w:rsid w:val="00784442"/>
    <w:rsid w:val="00794AB6"/>
    <w:rsid w:val="00796CCF"/>
    <w:rsid w:val="007A308B"/>
    <w:rsid w:val="007A549D"/>
    <w:rsid w:val="007A5928"/>
    <w:rsid w:val="007A6392"/>
    <w:rsid w:val="007A6D3C"/>
    <w:rsid w:val="007A737D"/>
    <w:rsid w:val="007B3EAE"/>
    <w:rsid w:val="007C190E"/>
    <w:rsid w:val="007C4C30"/>
    <w:rsid w:val="007C5B72"/>
    <w:rsid w:val="007D06BD"/>
    <w:rsid w:val="007D469F"/>
    <w:rsid w:val="007D4C37"/>
    <w:rsid w:val="007E11DC"/>
    <w:rsid w:val="007E1B6E"/>
    <w:rsid w:val="007E36EC"/>
    <w:rsid w:val="007E3E4C"/>
    <w:rsid w:val="007E534C"/>
    <w:rsid w:val="007E6927"/>
    <w:rsid w:val="007F560E"/>
    <w:rsid w:val="00802061"/>
    <w:rsid w:val="008026BE"/>
    <w:rsid w:val="00804F5A"/>
    <w:rsid w:val="008067BB"/>
    <w:rsid w:val="00810789"/>
    <w:rsid w:val="008107D5"/>
    <w:rsid w:val="0081170B"/>
    <w:rsid w:val="00813FA5"/>
    <w:rsid w:val="00815D8A"/>
    <w:rsid w:val="00816798"/>
    <w:rsid w:val="00816F04"/>
    <w:rsid w:val="008229F3"/>
    <w:rsid w:val="00825157"/>
    <w:rsid w:val="00832BC5"/>
    <w:rsid w:val="00832BD5"/>
    <w:rsid w:val="008361E9"/>
    <w:rsid w:val="00836A67"/>
    <w:rsid w:val="00840E3A"/>
    <w:rsid w:val="00842A0F"/>
    <w:rsid w:val="008438EF"/>
    <w:rsid w:val="00843DBF"/>
    <w:rsid w:val="00843EA0"/>
    <w:rsid w:val="00845520"/>
    <w:rsid w:val="0084659B"/>
    <w:rsid w:val="0084699A"/>
    <w:rsid w:val="008469E1"/>
    <w:rsid w:val="00850FDF"/>
    <w:rsid w:val="00854F2A"/>
    <w:rsid w:val="00854F56"/>
    <w:rsid w:val="0085583C"/>
    <w:rsid w:val="0085590A"/>
    <w:rsid w:val="00856F3C"/>
    <w:rsid w:val="00860AEE"/>
    <w:rsid w:val="00861362"/>
    <w:rsid w:val="008634C1"/>
    <w:rsid w:val="008653B1"/>
    <w:rsid w:val="008708E9"/>
    <w:rsid w:val="00872283"/>
    <w:rsid w:val="008741D8"/>
    <w:rsid w:val="0087561C"/>
    <w:rsid w:val="0087695E"/>
    <w:rsid w:val="008826E3"/>
    <w:rsid w:val="00882ADA"/>
    <w:rsid w:val="008851C9"/>
    <w:rsid w:val="0088528D"/>
    <w:rsid w:val="0088640F"/>
    <w:rsid w:val="00886BA1"/>
    <w:rsid w:val="00890AE9"/>
    <w:rsid w:val="00891398"/>
    <w:rsid w:val="0089186D"/>
    <w:rsid w:val="008924D4"/>
    <w:rsid w:val="008932CF"/>
    <w:rsid w:val="00893E8A"/>
    <w:rsid w:val="008A22F0"/>
    <w:rsid w:val="008B0F37"/>
    <w:rsid w:val="008B1A34"/>
    <w:rsid w:val="008B27CC"/>
    <w:rsid w:val="008C3975"/>
    <w:rsid w:val="008C65C2"/>
    <w:rsid w:val="008D01D6"/>
    <w:rsid w:val="008D0B0F"/>
    <w:rsid w:val="008D4DE2"/>
    <w:rsid w:val="008D5EB5"/>
    <w:rsid w:val="008D680C"/>
    <w:rsid w:val="008E1B23"/>
    <w:rsid w:val="008E2646"/>
    <w:rsid w:val="008E2C6C"/>
    <w:rsid w:val="008E6CED"/>
    <w:rsid w:val="008E6EC0"/>
    <w:rsid w:val="008E762F"/>
    <w:rsid w:val="008E7F87"/>
    <w:rsid w:val="008E7FD7"/>
    <w:rsid w:val="008F122C"/>
    <w:rsid w:val="008F2458"/>
    <w:rsid w:val="008F2F07"/>
    <w:rsid w:val="008F3467"/>
    <w:rsid w:val="008F397C"/>
    <w:rsid w:val="008F7A59"/>
    <w:rsid w:val="0090109C"/>
    <w:rsid w:val="00902EC9"/>
    <w:rsid w:val="00903333"/>
    <w:rsid w:val="009054E7"/>
    <w:rsid w:val="0090750E"/>
    <w:rsid w:val="00907FCA"/>
    <w:rsid w:val="009115C9"/>
    <w:rsid w:val="00914610"/>
    <w:rsid w:val="00915EF7"/>
    <w:rsid w:val="009202F4"/>
    <w:rsid w:val="009204AB"/>
    <w:rsid w:val="009215FC"/>
    <w:rsid w:val="00922DD9"/>
    <w:rsid w:val="00924C32"/>
    <w:rsid w:val="009302A6"/>
    <w:rsid w:val="00930759"/>
    <w:rsid w:val="00930A89"/>
    <w:rsid w:val="00934458"/>
    <w:rsid w:val="00937827"/>
    <w:rsid w:val="00937CFF"/>
    <w:rsid w:val="00942C63"/>
    <w:rsid w:val="00943329"/>
    <w:rsid w:val="009444E7"/>
    <w:rsid w:val="009447A2"/>
    <w:rsid w:val="009460E3"/>
    <w:rsid w:val="009479C0"/>
    <w:rsid w:val="00952B38"/>
    <w:rsid w:val="009531C1"/>
    <w:rsid w:val="0095466F"/>
    <w:rsid w:val="00954E79"/>
    <w:rsid w:val="00956526"/>
    <w:rsid w:val="00960D3F"/>
    <w:rsid w:val="00965612"/>
    <w:rsid w:val="00967293"/>
    <w:rsid w:val="00967804"/>
    <w:rsid w:val="0097089D"/>
    <w:rsid w:val="00971D10"/>
    <w:rsid w:val="00973925"/>
    <w:rsid w:val="00982AEC"/>
    <w:rsid w:val="00983845"/>
    <w:rsid w:val="00985163"/>
    <w:rsid w:val="0098517D"/>
    <w:rsid w:val="00986630"/>
    <w:rsid w:val="00986BF1"/>
    <w:rsid w:val="00994576"/>
    <w:rsid w:val="00996783"/>
    <w:rsid w:val="0099694D"/>
    <w:rsid w:val="00997C26"/>
    <w:rsid w:val="009A263F"/>
    <w:rsid w:val="009A4B9A"/>
    <w:rsid w:val="009A7C0D"/>
    <w:rsid w:val="009B42F3"/>
    <w:rsid w:val="009B4ABA"/>
    <w:rsid w:val="009B4E4E"/>
    <w:rsid w:val="009B6E33"/>
    <w:rsid w:val="009B6F39"/>
    <w:rsid w:val="009C10F7"/>
    <w:rsid w:val="009C1E50"/>
    <w:rsid w:val="009C2B62"/>
    <w:rsid w:val="009C454A"/>
    <w:rsid w:val="009D1093"/>
    <w:rsid w:val="009E0D1A"/>
    <w:rsid w:val="009E15B9"/>
    <w:rsid w:val="009E23DE"/>
    <w:rsid w:val="009E62D3"/>
    <w:rsid w:val="009E6754"/>
    <w:rsid w:val="009E7E13"/>
    <w:rsid w:val="009F2FA0"/>
    <w:rsid w:val="009F48B4"/>
    <w:rsid w:val="009F5875"/>
    <w:rsid w:val="009F5A1A"/>
    <w:rsid w:val="00A034BE"/>
    <w:rsid w:val="00A03518"/>
    <w:rsid w:val="00A04CD5"/>
    <w:rsid w:val="00A05223"/>
    <w:rsid w:val="00A06585"/>
    <w:rsid w:val="00A106C2"/>
    <w:rsid w:val="00A112DC"/>
    <w:rsid w:val="00A12377"/>
    <w:rsid w:val="00A14165"/>
    <w:rsid w:val="00A14316"/>
    <w:rsid w:val="00A17292"/>
    <w:rsid w:val="00A22FBA"/>
    <w:rsid w:val="00A308CF"/>
    <w:rsid w:val="00A31473"/>
    <w:rsid w:val="00A31930"/>
    <w:rsid w:val="00A41334"/>
    <w:rsid w:val="00A42951"/>
    <w:rsid w:val="00A444BE"/>
    <w:rsid w:val="00A4657B"/>
    <w:rsid w:val="00A477D9"/>
    <w:rsid w:val="00A60A96"/>
    <w:rsid w:val="00A61B5B"/>
    <w:rsid w:val="00A756DB"/>
    <w:rsid w:val="00A768A1"/>
    <w:rsid w:val="00A80F3F"/>
    <w:rsid w:val="00A82E01"/>
    <w:rsid w:val="00A846D0"/>
    <w:rsid w:val="00A861E7"/>
    <w:rsid w:val="00A91A55"/>
    <w:rsid w:val="00A921D4"/>
    <w:rsid w:val="00A9483B"/>
    <w:rsid w:val="00A95F26"/>
    <w:rsid w:val="00AA0DB3"/>
    <w:rsid w:val="00AA2C04"/>
    <w:rsid w:val="00AA74B4"/>
    <w:rsid w:val="00AB1100"/>
    <w:rsid w:val="00AB13FB"/>
    <w:rsid w:val="00AB1AF1"/>
    <w:rsid w:val="00AB24F6"/>
    <w:rsid w:val="00AB531D"/>
    <w:rsid w:val="00AB5613"/>
    <w:rsid w:val="00AB59B0"/>
    <w:rsid w:val="00AB5F05"/>
    <w:rsid w:val="00AB7E0F"/>
    <w:rsid w:val="00AC0BB8"/>
    <w:rsid w:val="00AC0F95"/>
    <w:rsid w:val="00AC352B"/>
    <w:rsid w:val="00AC36F2"/>
    <w:rsid w:val="00AC69CE"/>
    <w:rsid w:val="00AD04FB"/>
    <w:rsid w:val="00AD2475"/>
    <w:rsid w:val="00AD424E"/>
    <w:rsid w:val="00AD48F2"/>
    <w:rsid w:val="00AD52FB"/>
    <w:rsid w:val="00AD7550"/>
    <w:rsid w:val="00AE1501"/>
    <w:rsid w:val="00AE2816"/>
    <w:rsid w:val="00AE477B"/>
    <w:rsid w:val="00AE5A9C"/>
    <w:rsid w:val="00AE6737"/>
    <w:rsid w:val="00AF5D44"/>
    <w:rsid w:val="00AF5E47"/>
    <w:rsid w:val="00AF7950"/>
    <w:rsid w:val="00AF7F7B"/>
    <w:rsid w:val="00B0294E"/>
    <w:rsid w:val="00B049DF"/>
    <w:rsid w:val="00B0635C"/>
    <w:rsid w:val="00B11613"/>
    <w:rsid w:val="00B159E8"/>
    <w:rsid w:val="00B16692"/>
    <w:rsid w:val="00B212E9"/>
    <w:rsid w:val="00B21EDD"/>
    <w:rsid w:val="00B21EF2"/>
    <w:rsid w:val="00B25B24"/>
    <w:rsid w:val="00B2616E"/>
    <w:rsid w:val="00B300D5"/>
    <w:rsid w:val="00B310DE"/>
    <w:rsid w:val="00B332A2"/>
    <w:rsid w:val="00B353B4"/>
    <w:rsid w:val="00B40AA6"/>
    <w:rsid w:val="00B41144"/>
    <w:rsid w:val="00B4277F"/>
    <w:rsid w:val="00B45300"/>
    <w:rsid w:val="00B46291"/>
    <w:rsid w:val="00B477B3"/>
    <w:rsid w:val="00B55496"/>
    <w:rsid w:val="00B55855"/>
    <w:rsid w:val="00B55F0B"/>
    <w:rsid w:val="00B603C0"/>
    <w:rsid w:val="00B6331C"/>
    <w:rsid w:val="00B645D7"/>
    <w:rsid w:val="00B6602E"/>
    <w:rsid w:val="00B66CF9"/>
    <w:rsid w:val="00B74080"/>
    <w:rsid w:val="00B7550B"/>
    <w:rsid w:val="00B82311"/>
    <w:rsid w:val="00B8330C"/>
    <w:rsid w:val="00B85076"/>
    <w:rsid w:val="00B9075F"/>
    <w:rsid w:val="00B91A82"/>
    <w:rsid w:val="00B93043"/>
    <w:rsid w:val="00B94BB7"/>
    <w:rsid w:val="00B9760D"/>
    <w:rsid w:val="00BA082C"/>
    <w:rsid w:val="00BA0F3F"/>
    <w:rsid w:val="00BA3109"/>
    <w:rsid w:val="00BB3522"/>
    <w:rsid w:val="00BB49EF"/>
    <w:rsid w:val="00BB5759"/>
    <w:rsid w:val="00BB70A6"/>
    <w:rsid w:val="00BC0057"/>
    <w:rsid w:val="00BC2E6A"/>
    <w:rsid w:val="00BC6706"/>
    <w:rsid w:val="00BC7B87"/>
    <w:rsid w:val="00BD15AA"/>
    <w:rsid w:val="00BD2DCC"/>
    <w:rsid w:val="00BE0C15"/>
    <w:rsid w:val="00BE3B7F"/>
    <w:rsid w:val="00BE53F9"/>
    <w:rsid w:val="00BE5CCA"/>
    <w:rsid w:val="00BE78DF"/>
    <w:rsid w:val="00BF2D35"/>
    <w:rsid w:val="00BF4D4F"/>
    <w:rsid w:val="00BF5EBA"/>
    <w:rsid w:val="00C0088A"/>
    <w:rsid w:val="00C00D31"/>
    <w:rsid w:val="00C02CF0"/>
    <w:rsid w:val="00C0702F"/>
    <w:rsid w:val="00C11C02"/>
    <w:rsid w:val="00C1223E"/>
    <w:rsid w:val="00C13692"/>
    <w:rsid w:val="00C17310"/>
    <w:rsid w:val="00C20F04"/>
    <w:rsid w:val="00C25EE5"/>
    <w:rsid w:val="00C27575"/>
    <w:rsid w:val="00C27FCB"/>
    <w:rsid w:val="00C307E0"/>
    <w:rsid w:val="00C34194"/>
    <w:rsid w:val="00C348DC"/>
    <w:rsid w:val="00C4049F"/>
    <w:rsid w:val="00C40CDF"/>
    <w:rsid w:val="00C40E54"/>
    <w:rsid w:val="00C50846"/>
    <w:rsid w:val="00C5224C"/>
    <w:rsid w:val="00C54F8F"/>
    <w:rsid w:val="00C572C6"/>
    <w:rsid w:val="00C612D6"/>
    <w:rsid w:val="00C64E13"/>
    <w:rsid w:val="00C6565C"/>
    <w:rsid w:val="00C748B0"/>
    <w:rsid w:val="00C74AA8"/>
    <w:rsid w:val="00C76CBA"/>
    <w:rsid w:val="00C774D0"/>
    <w:rsid w:val="00C82B6D"/>
    <w:rsid w:val="00C82FA4"/>
    <w:rsid w:val="00C85692"/>
    <w:rsid w:val="00C86216"/>
    <w:rsid w:val="00C90138"/>
    <w:rsid w:val="00C933D9"/>
    <w:rsid w:val="00C9690E"/>
    <w:rsid w:val="00C9754F"/>
    <w:rsid w:val="00CA00F5"/>
    <w:rsid w:val="00CA034B"/>
    <w:rsid w:val="00CA2588"/>
    <w:rsid w:val="00CA6613"/>
    <w:rsid w:val="00CA7321"/>
    <w:rsid w:val="00CA7930"/>
    <w:rsid w:val="00CB09CC"/>
    <w:rsid w:val="00CB1752"/>
    <w:rsid w:val="00CB1AE4"/>
    <w:rsid w:val="00CB2293"/>
    <w:rsid w:val="00CB3199"/>
    <w:rsid w:val="00CB3593"/>
    <w:rsid w:val="00CB592C"/>
    <w:rsid w:val="00CC2897"/>
    <w:rsid w:val="00CC5CBF"/>
    <w:rsid w:val="00CD07AD"/>
    <w:rsid w:val="00CD1530"/>
    <w:rsid w:val="00CD1CE3"/>
    <w:rsid w:val="00CD54C9"/>
    <w:rsid w:val="00CD7872"/>
    <w:rsid w:val="00CE219A"/>
    <w:rsid w:val="00CE27DC"/>
    <w:rsid w:val="00CE39CB"/>
    <w:rsid w:val="00CE5857"/>
    <w:rsid w:val="00CE6317"/>
    <w:rsid w:val="00CF1AE8"/>
    <w:rsid w:val="00CF1CAB"/>
    <w:rsid w:val="00CF26E5"/>
    <w:rsid w:val="00CF2946"/>
    <w:rsid w:val="00CF322C"/>
    <w:rsid w:val="00CF51E6"/>
    <w:rsid w:val="00CF7867"/>
    <w:rsid w:val="00D014B9"/>
    <w:rsid w:val="00D01A8B"/>
    <w:rsid w:val="00D06ECB"/>
    <w:rsid w:val="00D07485"/>
    <w:rsid w:val="00D1019D"/>
    <w:rsid w:val="00D1205E"/>
    <w:rsid w:val="00D1299E"/>
    <w:rsid w:val="00D1761D"/>
    <w:rsid w:val="00D21406"/>
    <w:rsid w:val="00D21F8E"/>
    <w:rsid w:val="00D22527"/>
    <w:rsid w:val="00D243AF"/>
    <w:rsid w:val="00D24AEE"/>
    <w:rsid w:val="00D263A3"/>
    <w:rsid w:val="00D27BD5"/>
    <w:rsid w:val="00D379F5"/>
    <w:rsid w:val="00D37BDB"/>
    <w:rsid w:val="00D428B5"/>
    <w:rsid w:val="00D4393A"/>
    <w:rsid w:val="00D465D5"/>
    <w:rsid w:val="00D4748C"/>
    <w:rsid w:val="00D50ECC"/>
    <w:rsid w:val="00D5185E"/>
    <w:rsid w:val="00D52B38"/>
    <w:rsid w:val="00D53C2F"/>
    <w:rsid w:val="00D54EEF"/>
    <w:rsid w:val="00D57B54"/>
    <w:rsid w:val="00D57D6B"/>
    <w:rsid w:val="00D619F0"/>
    <w:rsid w:val="00D62039"/>
    <w:rsid w:val="00D6609C"/>
    <w:rsid w:val="00D70F6D"/>
    <w:rsid w:val="00D7115C"/>
    <w:rsid w:val="00D71229"/>
    <w:rsid w:val="00D7174C"/>
    <w:rsid w:val="00D73078"/>
    <w:rsid w:val="00D7500C"/>
    <w:rsid w:val="00D7552B"/>
    <w:rsid w:val="00D829CF"/>
    <w:rsid w:val="00D846E6"/>
    <w:rsid w:val="00D85132"/>
    <w:rsid w:val="00D9244D"/>
    <w:rsid w:val="00D939E6"/>
    <w:rsid w:val="00D94E57"/>
    <w:rsid w:val="00D95341"/>
    <w:rsid w:val="00D95B13"/>
    <w:rsid w:val="00D95E93"/>
    <w:rsid w:val="00D968FE"/>
    <w:rsid w:val="00D971D8"/>
    <w:rsid w:val="00DA1829"/>
    <w:rsid w:val="00DA43EF"/>
    <w:rsid w:val="00DA4F69"/>
    <w:rsid w:val="00DA5799"/>
    <w:rsid w:val="00DB0D9C"/>
    <w:rsid w:val="00DB2538"/>
    <w:rsid w:val="00DB322C"/>
    <w:rsid w:val="00DB3AEF"/>
    <w:rsid w:val="00DC052E"/>
    <w:rsid w:val="00DC2A93"/>
    <w:rsid w:val="00DC52C1"/>
    <w:rsid w:val="00DD0DF0"/>
    <w:rsid w:val="00DD15C1"/>
    <w:rsid w:val="00DD23D9"/>
    <w:rsid w:val="00DD3620"/>
    <w:rsid w:val="00DD5AB4"/>
    <w:rsid w:val="00DD66D8"/>
    <w:rsid w:val="00DD7BD3"/>
    <w:rsid w:val="00DE3158"/>
    <w:rsid w:val="00DE390D"/>
    <w:rsid w:val="00DE6483"/>
    <w:rsid w:val="00DE7BFB"/>
    <w:rsid w:val="00DF150C"/>
    <w:rsid w:val="00DF18B1"/>
    <w:rsid w:val="00DF305A"/>
    <w:rsid w:val="00DF6F50"/>
    <w:rsid w:val="00DF74AA"/>
    <w:rsid w:val="00DF75AA"/>
    <w:rsid w:val="00DF7DC1"/>
    <w:rsid w:val="00E00F4D"/>
    <w:rsid w:val="00E01557"/>
    <w:rsid w:val="00E030F6"/>
    <w:rsid w:val="00E037DE"/>
    <w:rsid w:val="00E05438"/>
    <w:rsid w:val="00E05DAB"/>
    <w:rsid w:val="00E062C1"/>
    <w:rsid w:val="00E1034E"/>
    <w:rsid w:val="00E10503"/>
    <w:rsid w:val="00E14164"/>
    <w:rsid w:val="00E17EB3"/>
    <w:rsid w:val="00E21541"/>
    <w:rsid w:val="00E21B4E"/>
    <w:rsid w:val="00E2211F"/>
    <w:rsid w:val="00E239EC"/>
    <w:rsid w:val="00E262B6"/>
    <w:rsid w:val="00E276F1"/>
    <w:rsid w:val="00E30852"/>
    <w:rsid w:val="00E31269"/>
    <w:rsid w:val="00E325D3"/>
    <w:rsid w:val="00E3349B"/>
    <w:rsid w:val="00E3356F"/>
    <w:rsid w:val="00E35556"/>
    <w:rsid w:val="00E405BA"/>
    <w:rsid w:val="00E41981"/>
    <w:rsid w:val="00E45B44"/>
    <w:rsid w:val="00E46EB6"/>
    <w:rsid w:val="00E51C0C"/>
    <w:rsid w:val="00E535B6"/>
    <w:rsid w:val="00E6129F"/>
    <w:rsid w:val="00E64E43"/>
    <w:rsid w:val="00E75898"/>
    <w:rsid w:val="00E76938"/>
    <w:rsid w:val="00E817FA"/>
    <w:rsid w:val="00E8432B"/>
    <w:rsid w:val="00E844E0"/>
    <w:rsid w:val="00E848C4"/>
    <w:rsid w:val="00E865E6"/>
    <w:rsid w:val="00E9326A"/>
    <w:rsid w:val="00E94953"/>
    <w:rsid w:val="00E97FF9"/>
    <w:rsid w:val="00EA05C5"/>
    <w:rsid w:val="00EA2A0C"/>
    <w:rsid w:val="00EA4E4E"/>
    <w:rsid w:val="00EA69AE"/>
    <w:rsid w:val="00EB27BD"/>
    <w:rsid w:val="00EB374E"/>
    <w:rsid w:val="00EB3D47"/>
    <w:rsid w:val="00EB4D06"/>
    <w:rsid w:val="00EB6D78"/>
    <w:rsid w:val="00EC091E"/>
    <w:rsid w:val="00EC0A11"/>
    <w:rsid w:val="00EC16EE"/>
    <w:rsid w:val="00EC338C"/>
    <w:rsid w:val="00EC43B1"/>
    <w:rsid w:val="00EC45A9"/>
    <w:rsid w:val="00EC5845"/>
    <w:rsid w:val="00EC71A9"/>
    <w:rsid w:val="00ED08B9"/>
    <w:rsid w:val="00ED1413"/>
    <w:rsid w:val="00ED5927"/>
    <w:rsid w:val="00ED618F"/>
    <w:rsid w:val="00ED7120"/>
    <w:rsid w:val="00EE0714"/>
    <w:rsid w:val="00EE0D09"/>
    <w:rsid w:val="00EE1E6F"/>
    <w:rsid w:val="00EE648B"/>
    <w:rsid w:val="00EF1CA0"/>
    <w:rsid w:val="00EF4990"/>
    <w:rsid w:val="00F01C32"/>
    <w:rsid w:val="00F02828"/>
    <w:rsid w:val="00F03BCC"/>
    <w:rsid w:val="00F04160"/>
    <w:rsid w:val="00F07186"/>
    <w:rsid w:val="00F1611B"/>
    <w:rsid w:val="00F17367"/>
    <w:rsid w:val="00F22602"/>
    <w:rsid w:val="00F226AB"/>
    <w:rsid w:val="00F227B8"/>
    <w:rsid w:val="00F235F3"/>
    <w:rsid w:val="00F24108"/>
    <w:rsid w:val="00F25B41"/>
    <w:rsid w:val="00F25DD4"/>
    <w:rsid w:val="00F264C1"/>
    <w:rsid w:val="00F27623"/>
    <w:rsid w:val="00F32C1D"/>
    <w:rsid w:val="00F33250"/>
    <w:rsid w:val="00F372A5"/>
    <w:rsid w:val="00F372D7"/>
    <w:rsid w:val="00F3781B"/>
    <w:rsid w:val="00F44BBD"/>
    <w:rsid w:val="00F45819"/>
    <w:rsid w:val="00F51876"/>
    <w:rsid w:val="00F550EE"/>
    <w:rsid w:val="00F56C3B"/>
    <w:rsid w:val="00F57B97"/>
    <w:rsid w:val="00F62BC9"/>
    <w:rsid w:val="00F6612F"/>
    <w:rsid w:val="00F661C8"/>
    <w:rsid w:val="00F667D3"/>
    <w:rsid w:val="00F7351F"/>
    <w:rsid w:val="00F73F86"/>
    <w:rsid w:val="00F77018"/>
    <w:rsid w:val="00F80B81"/>
    <w:rsid w:val="00F83623"/>
    <w:rsid w:val="00F83921"/>
    <w:rsid w:val="00F847FF"/>
    <w:rsid w:val="00F87C63"/>
    <w:rsid w:val="00F9015B"/>
    <w:rsid w:val="00F913EC"/>
    <w:rsid w:val="00F94FAE"/>
    <w:rsid w:val="00F974A0"/>
    <w:rsid w:val="00F97F26"/>
    <w:rsid w:val="00F97F7E"/>
    <w:rsid w:val="00FA1865"/>
    <w:rsid w:val="00FA194D"/>
    <w:rsid w:val="00FA37D7"/>
    <w:rsid w:val="00FA4DC5"/>
    <w:rsid w:val="00FA7D05"/>
    <w:rsid w:val="00FB3FF4"/>
    <w:rsid w:val="00FB4033"/>
    <w:rsid w:val="00FB6301"/>
    <w:rsid w:val="00FB63A2"/>
    <w:rsid w:val="00FC216A"/>
    <w:rsid w:val="00FC2F5D"/>
    <w:rsid w:val="00FC5A5A"/>
    <w:rsid w:val="00FC6AE4"/>
    <w:rsid w:val="00FD2342"/>
    <w:rsid w:val="00FD4B61"/>
    <w:rsid w:val="00FD618B"/>
    <w:rsid w:val="00FD63D3"/>
    <w:rsid w:val="00FE06E4"/>
    <w:rsid w:val="00FE52C2"/>
    <w:rsid w:val="00FE70D7"/>
    <w:rsid w:val="00FF015D"/>
    <w:rsid w:val="00FF5589"/>
    <w:rsid w:val="044C09CC"/>
    <w:rsid w:val="05100228"/>
    <w:rsid w:val="064A5629"/>
    <w:rsid w:val="06D6790A"/>
    <w:rsid w:val="08597DA5"/>
    <w:rsid w:val="09283896"/>
    <w:rsid w:val="10056A3E"/>
    <w:rsid w:val="10420EF7"/>
    <w:rsid w:val="1147108E"/>
    <w:rsid w:val="119B241F"/>
    <w:rsid w:val="1338156E"/>
    <w:rsid w:val="138F3EA0"/>
    <w:rsid w:val="14C9345A"/>
    <w:rsid w:val="14D0722C"/>
    <w:rsid w:val="15DC2ABE"/>
    <w:rsid w:val="16C77C2C"/>
    <w:rsid w:val="16FB2782"/>
    <w:rsid w:val="17F84D0B"/>
    <w:rsid w:val="1F011325"/>
    <w:rsid w:val="20152E67"/>
    <w:rsid w:val="25AB3AD2"/>
    <w:rsid w:val="2AE57C56"/>
    <w:rsid w:val="2B7873A6"/>
    <w:rsid w:val="2BA73AB9"/>
    <w:rsid w:val="2BE568B2"/>
    <w:rsid w:val="2BFC712D"/>
    <w:rsid w:val="2C4C229B"/>
    <w:rsid w:val="2CBA4A07"/>
    <w:rsid w:val="2E706A01"/>
    <w:rsid w:val="2E9C2D06"/>
    <w:rsid w:val="2FD542CE"/>
    <w:rsid w:val="308B2E8B"/>
    <w:rsid w:val="34B25B36"/>
    <w:rsid w:val="36915C1A"/>
    <w:rsid w:val="38726FE7"/>
    <w:rsid w:val="3AEB1670"/>
    <w:rsid w:val="3BB6BFCD"/>
    <w:rsid w:val="3BE525FF"/>
    <w:rsid w:val="3E0015A5"/>
    <w:rsid w:val="3ED3E6D7"/>
    <w:rsid w:val="3F6A7BC7"/>
    <w:rsid w:val="3FEF2145"/>
    <w:rsid w:val="40167BA4"/>
    <w:rsid w:val="41E33C60"/>
    <w:rsid w:val="43F768BA"/>
    <w:rsid w:val="459E49B1"/>
    <w:rsid w:val="46182913"/>
    <w:rsid w:val="47460F19"/>
    <w:rsid w:val="498760F2"/>
    <w:rsid w:val="4ACF7478"/>
    <w:rsid w:val="4B0B6DCB"/>
    <w:rsid w:val="4B227626"/>
    <w:rsid w:val="4BD60854"/>
    <w:rsid w:val="4D493511"/>
    <w:rsid w:val="4E421D22"/>
    <w:rsid w:val="4E8924B7"/>
    <w:rsid w:val="4EC54E1A"/>
    <w:rsid w:val="4F2152EC"/>
    <w:rsid w:val="4F413AFC"/>
    <w:rsid w:val="4F650B90"/>
    <w:rsid w:val="558064EF"/>
    <w:rsid w:val="56847368"/>
    <w:rsid w:val="58812EF6"/>
    <w:rsid w:val="59866EFB"/>
    <w:rsid w:val="5B0A1049"/>
    <w:rsid w:val="5C767C75"/>
    <w:rsid w:val="5D6DD727"/>
    <w:rsid w:val="5E4D36FC"/>
    <w:rsid w:val="5E5B4E53"/>
    <w:rsid w:val="5E8B27A2"/>
    <w:rsid w:val="5FEEEC28"/>
    <w:rsid w:val="619C7C5C"/>
    <w:rsid w:val="61C20023"/>
    <w:rsid w:val="63190CCD"/>
    <w:rsid w:val="657EC776"/>
    <w:rsid w:val="65D5198E"/>
    <w:rsid w:val="670B0D85"/>
    <w:rsid w:val="6860591C"/>
    <w:rsid w:val="68751207"/>
    <w:rsid w:val="68FF183C"/>
    <w:rsid w:val="6AAE39E5"/>
    <w:rsid w:val="6B3F2D45"/>
    <w:rsid w:val="6BDF1AB1"/>
    <w:rsid w:val="6DFF0E71"/>
    <w:rsid w:val="6F563B40"/>
    <w:rsid w:val="6F733B78"/>
    <w:rsid w:val="6FB30238"/>
    <w:rsid w:val="71FF4EA2"/>
    <w:rsid w:val="726A01FC"/>
    <w:rsid w:val="72FF098D"/>
    <w:rsid w:val="75C8025B"/>
    <w:rsid w:val="75DC3620"/>
    <w:rsid w:val="76991E5E"/>
    <w:rsid w:val="77AE203F"/>
    <w:rsid w:val="77DE0986"/>
    <w:rsid w:val="786F17CF"/>
    <w:rsid w:val="787F2D1D"/>
    <w:rsid w:val="7A17404E"/>
    <w:rsid w:val="7A195E96"/>
    <w:rsid w:val="7AE16954"/>
    <w:rsid w:val="7B1F2F16"/>
    <w:rsid w:val="7B4A4484"/>
    <w:rsid w:val="7BCB2FBD"/>
    <w:rsid w:val="7E2B65BA"/>
    <w:rsid w:val="7ED534DE"/>
    <w:rsid w:val="7F923FF5"/>
    <w:rsid w:val="7FEDD2C4"/>
    <w:rsid w:val="7FF8479F"/>
    <w:rsid w:val="7FFD06E6"/>
    <w:rsid w:val="9EFBA68D"/>
    <w:rsid w:val="BEF78609"/>
    <w:rsid w:val="D5F84C89"/>
    <w:rsid w:val="DCCB4E6D"/>
    <w:rsid w:val="EF5FC275"/>
    <w:rsid w:val="EFEFEBCB"/>
    <w:rsid w:val="F3DF9669"/>
    <w:rsid w:val="F6C76FDB"/>
    <w:rsid w:val="FDFF7C5C"/>
    <w:rsid w:val="FE7D945F"/>
    <w:rsid w:val="FEDFFA68"/>
    <w:rsid w:val="FFDFDDE8"/>
    <w:rsid w:val="FFFB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0"/>
    <w:pPr>
      <w:keepNext/>
      <w:keepLines/>
      <w:jc w:val="center"/>
      <w:outlineLvl w:val="0"/>
    </w:pPr>
    <w:rPr>
      <w:rFonts w:ascii="Calibri" w:hAnsi="Calibri" w:cs="Times New Roman"/>
      <w:b/>
      <w:bCs/>
      <w:kern w:val="44"/>
      <w:sz w:val="32"/>
      <w:szCs w:val="44"/>
    </w:rPr>
  </w:style>
  <w:style w:type="paragraph" w:styleId="4">
    <w:name w:val="heading 2"/>
    <w:basedOn w:val="1"/>
    <w:next w:val="1"/>
    <w:link w:val="35"/>
    <w:unhideWhenUsed/>
    <w:qFormat/>
    <w:uiPriority w:val="0"/>
    <w:pPr>
      <w:keepNext/>
      <w:keepLines/>
      <w:spacing w:before="120" w:after="120" w:line="360" w:lineRule="auto"/>
      <w:outlineLvl w:val="1"/>
    </w:pPr>
    <w:rPr>
      <w:rFonts w:asciiTheme="majorHAnsi" w:hAnsiTheme="majorHAnsi" w:cstheme="majorBidi"/>
      <w:b/>
      <w:bCs/>
      <w:sz w:val="30"/>
      <w:szCs w:val="32"/>
    </w:rPr>
  </w:style>
  <w:style w:type="paragraph" w:styleId="5">
    <w:name w:val="heading 3"/>
    <w:basedOn w:val="1"/>
    <w:next w:val="1"/>
    <w:link w:val="38"/>
    <w:unhideWhenUsed/>
    <w:qFormat/>
    <w:uiPriority w:val="0"/>
    <w:pPr>
      <w:keepNext/>
      <w:keepLines/>
      <w:spacing w:line="360" w:lineRule="auto"/>
      <w:outlineLvl w:val="2"/>
    </w:pPr>
    <w:rPr>
      <w:b/>
      <w:bCs/>
      <w:sz w:val="30"/>
      <w:szCs w:val="32"/>
    </w:rPr>
  </w:style>
  <w:style w:type="paragraph" w:styleId="6">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paragraph" w:styleId="7">
    <w:name w:val="heading 5"/>
    <w:basedOn w:val="1"/>
    <w:next w:val="1"/>
    <w:link w:val="40"/>
    <w:semiHidden/>
    <w:unhideWhenUsed/>
    <w:qFormat/>
    <w:uiPriority w:val="0"/>
    <w:pPr>
      <w:keepNext/>
      <w:keepLines/>
      <w:spacing w:before="280" w:after="290" w:line="376" w:lineRule="auto"/>
      <w:outlineLvl w:val="4"/>
    </w:pPr>
    <w:rPr>
      <w:b/>
      <w:bCs/>
      <w:sz w:val="28"/>
      <w:szCs w:val="28"/>
    </w:rPr>
  </w:style>
  <w:style w:type="paragraph" w:styleId="8">
    <w:name w:val="heading 8"/>
    <w:basedOn w:val="1"/>
    <w:next w:val="1"/>
    <w:link w:val="3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qFormat/>
    <w:uiPriority w:val="99"/>
    <w:pPr>
      <w:widowControl/>
      <w:tabs>
        <w:tab w:val="center" w:pos="4153"/>
        <w:tab w:val="right" w:pos="8306"/>
      </w:tabs>
    </w:pPr>
    <w:rPr>
      <w:rFonts w:ascii="Times New Roman" w:hAnsi="Times New Roman" w:eastAsia="Times New Roman" w:cs="Times New Roman"/>
      <w:sz w:val="18"/>
      <w:szCs w:val="18"/>
    </w:rPr>
  </w:style>
  <w:style w:type="paragraph" w:styleId="9">
    <w:name w:val="annotation text"/>
    <w:basedOn w:val="1"/>
    <w:link w:val="32"/>
    <w:qFormat/>
    <w:uiPriority w:val="0"/>
  </w:style>
  <w:style w:type="paragraph" w:styleId="10">
    <w:name w:val="Body Text"/>
    <w:basedOn w:val="1"/>
    <w:qFormat/>
    <w:uiPriority w:val="0"/>
    <w:pPr>
      <w:spacing w:after="120"/>
    </w:pPr>
  </w:style>
  <w:style w:type="paragraph" w:styleId="11">
    <w:name w:val="Body Text Indent"/>
    <w:basedOn w:val="1"/>
    <w:qFormat/>
    <w:uiPriority w:val="0"/>
    <w:pPr>
      <w:widowControl/>
      <w:ind w:firstLine="580"/>
    </w:pPr>
    <w:rPr>
      <w:rFonts w:ascii="Times New Roman" w:hAnsi="Times New Roman" w:eastAsia="Times New Roman" w:cs="Times New Roman"/>
      <w:sz w:val="28"/>
      <w:szCs w:val="28"/>
    </w:rPr>
  </w:style>
  <w:style w:type="paragraph" w:styleId="12">
    <w:name w:val="Balloon Text"/>
    <w:basedOn w:val="1"/>
    <w:link w:val="34"/>
    <w:qFormat/>
    <w:uiPriority w:val="0"/>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qFormat/>
    <w:uiPriority w:val="0"/>
    <w:pPr>
      <w:spacing w:before="100" w:beforeAutospacing="1" w:after="100" w:afterAutospacing="1"/>
    </w:pPr>
    <w:rPr>
      <w:rFonts w:cs="Times New Roman"/>
      <w:sz w:val="24"/>
      <w:lang w:val="en-US" w:bidi="ar-SA"/>
    </w:rPr>
  </w:style>
  <w:style w:type="paragraph" w:styleId="16">
    <w:name w:val="annotation subject"/>
    <w:basedOn w:val="9"/>
    <w:next w:val="9"/>
    <w:link w:val="33"/>
    <w:qFormat/>
    <w:uiPriority w:val="0"/>
    <w:rPr>
      <w:b/>
      <w:bCs/>
    </w:rPr>
  </w:style>
  <w:style w:type="table" w:styleId="18">
    <w:name w:val="Table Grid"/>
    <w:basedOn w:val="1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99"/>
    <w:rPr>
      <w:sz w:val="21"/>
      <w:szCs w:val="21"/>
    </w:rPr>
  </w:style>
  <w:style w:type="paragraph" w:customStyle="1" w:styleId="2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3">
    <w:name w:val="WPSOffice手动目录 1"/>
    <w:qFormat/>
    <w:uiPriority w:val="0"/>
    <w:rPr>
      <w:rFonts w:ascii="Calibri" w:hAnsi="Calibri" w:cs="Times New Roman" w:eastAsiaTheme="minorEastAsia"/>
      <w:sz w:val="21"/>
      <w:szCs w:val="22"/>
      <w:lang w:val="en-US" w:eastAsia="zh-CN" w:bidi="ar-SA"/>
    </w:rPr>
  </w:style>
  <w:style w:type="paragraph" w:customStyle="1" w:styleId="24">
    <w:name w:val="列出段落1"/>
    <w:basedOn w:val="1"/>
    <w:qFormat/>
    <w:uiPriority w:val="34"/>
    <w:pPr>
      <w:ind w:firstLine="420" w:firstLineChars="200"/>
    </w:pPr>
  </w:style>
  <w:style w:type="paragraph" w:customStyle="1" w:styleId="25">
    <w:name w:val="样式"/>
    <w:qFormat/>
    <w:uiPriority w:val="0"/>
    <w:pPr>
      <w:autoSpaceDE w:val="0"/>
      <w:autoSpaceDN w:val="0"/>
    </w:pPr>
    <w:rPr>
      <w:rFonts w:ascii="宋体" w:hAnsi="宋体" w:eastAsia="宋体" w:cs="Times New Roman"/>
      <w:sz w:val="24"/>
      <w:szCs w:val="24"/>
      <w:lang w:val="en-US" w:eastAsia="zh-CN" w:bidi="ar-SA"/>
    </w:rPr>
  </w:style>
  <w:style w:type="character" w:customStyle="1" w:styleId="26">
    <w:name w:val="Char Char Char Char Char"/>
    <w:link w:val="27"/>
    <w:qFormat/>
    <w:uiPriority w:val="0"/>
    <w:rPr>
      <w:rFonts w:ascii="Arial" w:hAnsi="Arial"/>
      <w:szCs w:val="21"/>
    </w:rPr>
  </w:style>
  <w:style w:type="paragraph" w:customStyle="1" w:styleId="27">
    <w:name w:val="Char Char Char Char"/>
    <w:basedOn w:val="1"/>
    <w:link w:val="26"/>
    <w:qFormat/>
    <w:uiPriority w:val="0"/>
    <w:pPr>
      <w:snapToGrid w:val="0"/>
    </w:pPr>
    <w:rPr>
      <w:rFonts w:ascii="Arial" w:hAnsi="Arial"/>
      <w:szCs w:val="21"/>
    </w:rPr>
  </w:style>
  <w:style w:type="paragraph" w:customStyle="1" w:styleId="28">
    <w:name w:val="List Paragraph1"/>
    <w:basedOn w:val="1"/>
    <w:qFormat/>
    <w:uiPriority w:val="99"/>
    <w:pPr>
      <w:widowControl/>
      <w:adjustRightInd w:val="0"/>
      <w:snapToGrid w:val="0"/>
      <w:spacing w:after="200"/>
      <w:ind w:firstLine="420" w:firstLineChars="200"/>
    </w:pPr>
    <w:rPr>
      <w:rFonts w:ascii="Tahoma" w:hAnsi="Tahoma" w:eastAsia="微软雅黑" w:cs="黑体"/>
    </w:rPr>
  </w:style>
  <w:style w:type="paragraph" w:styleId="29">
    <w:name w:val="List Paragraph"/>
    <w:basedOn w:val="1"/>
    <w:qFormat/>
    <w:uiPriority w:val="99"/>
    <w:pPr>
      <w:ind w:firstLine="420" w:firstLineChars="200"/>
    </w:pPr>
  </w:style>
  <w:style w:type="paragraph" w:customStyle="1" w:styleId="30">
    <w:name w:val="正文00"/>
    <w:basedOn w:val="1"/>
    <w:qFormat/>
    <w:uiPriority w:val="0"/>
    <w:pPr>
      <w:topLinePunct/>
      <w:autoSpaceDE/>
      <w:autoSpaceDN/>
      <w:spacing w:line="360" w:lineRule="auto"/>
      <w:ind w:firstLine="200" w:firstLineChars="200"/>
      <w:jc w:val="both"/>
    </w:pPr>
    <w:rPr>
      <w:rFonts w:ascii="Times New Roman" w:hAnsi="Times New Roman" w:eastAsia="宋体" w:cs="Times New Roman"/>
      <w:kern w:val="2"/>
      <w:sz w:val="24"/>
      <w:szCs w:val="21"/>
      <w:lang w:val="en-US" w:bidi="ar-SA"/>
    </w:rPr>
  </w:style>
  <w:style w:type="character" w:customStyle="1" w:styleId="31">
    <w:name w:val="页眉 字符"/>
    <w:basedOn w:val="19"/>
    <w:link w:val="13"/>
    <w:qFormat/>
    <w:uiPriority w:val="99"/>
    <w:rPr>
      <w:rFonts w:ascii="仿宋_GB2312" w:hAnsi="仿宋_GB2312" w:eastAsia="仿宋_GB2312" w:cs="仿宋_GB2312"/>
      <w:sz w:val="18"/>
      <w:szCs w:val="18"/>
      <w:lang w:val="zh-CN" w:bidi="zh-CN"/>
    </w:rPr>
  </w:style>
  <w:style w:type="character" w:customStyle="1" w:styleId="32">
    <w:name w:val="批注文字 字符"/>
    <w:basedOn w:val="19"/>
    <w:link w:val="9"/>
    <w:qFormat/>
    <w:uiPriority w:val="0"/>
    <w:rPr>
      <w:rFonts w:ascii="仿宋_GB2312" w:hAnsi="仿宋_GB2312" w:eastAsia="仿宋_GB2312" w:cs="仿宋_GB2312"/>
      <w:sz w:val="22"/>
      <w:szCs w:val="22"/>
      <w:lang w:val="zh-CN" w:bidi="zh-CN"/>
    </w:rPr>
  </w:style>
  <w:style w:type="character" w:customStyle="1" w:styleId="33">
    <w:name w:val="批注主题 字符"/>
    <w:basedOn w:val="32"/>
    <w:link w:val="16"/>
    <w:qFormat/>
    <w:uiPriority w:val="0"/>
    <w:rPr>
      <w:rFonts w:ascii="仿宋_GB2312" w:hAnsi="仿宋_GB2312" w:eastAsia="仿宋_GB2312" w:cs="仿宋_GB2312"/>
      <w:b/>
      <w:bCs/>
      <w:sz w:val="22"/>
      <w:szCs w:val="22"/>
      <w:lang w:val="zh-CN" w:bidi="zh-CN"/>
    </w:rPr>
  </w:style>
  <w:style w:type="character" w:customStyle="1" w:styleId="34">
    <w:name w:val="批注框文本 字符"/>
    <w:basedOn w:val="19"/>
    <w:link w:val="12"/>
    <w:qFormat/>
    <w:uiPriority w:val="0"/>
    <w:rPr>
      <w:rFonts w:ascii="仿宋_GB2312" w:hAnsi="仿宋_GB2312" w:eastAsia="仿宋_GB2312" w:cs="仿宋_GB2312"/>
      <w:sz w:val="18"/>
      <w:szCs w:val="18"/>
      <w:lang w:val="zh-CN" w:bidi="zh-CN"/>
    </w:rPr>
  </w:style>
  <w:style w:type="character" w:customStyle="1" w:styleId="35">
    <w:name w:val="标题 2 字符"/>
    <w:basedOn w:val="19"/>
    <w:link w:val="4"/>
    <w:qFormat/>
    <w:uiPriority w:val="0"/>
    <w:rPr>
      <w:rFonts w:eastAsia="仿宋_GB2312" w:asciiTheme="majorHAnsi" w:hAnsiTheme="majorHAnsi" w:cstheme="majorBidi"/>
      <w:b/>
      <w:bCs/>
      <w:sz w:val="30"/>
      <w:szCs w:val="32"/>
      <w:lang w:val="zh-CN" w:bidi="zh-CN"/>
    </w:rPr>
  </w:style>
  <w:style w:type="paragraph" w:customStyle="1" w:styleId="36">
    <w:name w:val="Table Paragraph"/>
    <w:basedOn w:val="1"/>
    <w:qFormat/>
    <w:uiPriority w:val="1"/>
    <w:rPr>
      <w:rFonts w:ascii="宋体" w:hAnsi="宋体" w:eastAsia="宋体" w:cs="宋体"/>
    </w:rPr>
  </w:style>
  <w:style w:type="character" w:customStyle="1" w:styleId="37">
    <w:name w:val="页脚 字符"/>
    <w:basedOn w:val="19"/>
    <w:link w:val="2"/>
    <w:qFormat/>
    <w:uiPriority w:val="99"/>
    <w:rPr>
      <w:rFonts w:eastAsia="Times New Roman"/>
      <w:sz w:val="18"/>
      <w:szCs w:val="18"/>
      <w:lang w:val="zh-CN" w:bidi="zh-CN"/>
    </w:rPr>
  </w:style>
  <w:style w:type="character" w:customStyle="1" w:styleId="38">
    <w:name w:val="标题 3 字符"/>
    <w:basedOn w:val="19"/>
    <w:link w:val="5"/>
    <w:qFormat/>
    <w:uiPriority w:val="0"/>
    <w:rPr>
      <w:rFonts w:ascii="仿宋_GB2312" w:hAnsi="仿宋_GB2312" w:eastAsia="仿宋_GB2312" w:cs="仿宋_GB2312"/>
      <w:b/>
      <w:bCs/>
      <w:sz w:val="30"/>
      <w:szCs w:val="32"/>
      <w:lang w:val="zh-CN" w:bidi="zh-CN"/>
    </w:rPr>
  </w:style>
  <w:style w:type="character" w:customStyle="1" w:styleId="39">
    <w:name w:val="标题 8 字符"/>
    <w:basedOn w:val="19"/>
    <w:link w:val="8"/>
    <w:semiHidden/>
    <w:qFormat/>
    <w:uiPriority w:val="0"/>
    <w:rPr>
      <w:rFonts w:asciiTheme="majorHAnsi" w:hAnsiTheme="majorHAnsi" w:eastAsiaTheme="majorEastAsia" w:cstheme="majorBidi"/>
      <w:sz w:val="24"/>
      <w:szCs w:val="24"/>
      <w:lang w:val="zh-CN" w:bidi="zh-CN"/>
    </w:rPr>
  </w:style>
  <w:style w:type="character" w:customStyle="1" w:styleId="40">
    <w:name w:val="标题 5 字符"/>
    <w:basedOn w:val="19"/>
    <w:link w:val="7"/>
    <w:semiHidden/>
    <w:qFormat/>
    <w:uiPriority w:val="0"/>
    <w:rPr>
      <w:rFonts w:ascii="仿宋_GB2312" w:hAnsi="仿宋_GB2312" w:eastAsia="仿宋_GB2312" w:cs="仿宋_GB2312"/>
      <w:b/>
      <w:bCs/>
      <w:sz w:val="28"/>
      <w:szCs w:val="28"/>
      <w:lang w:val="zh-CN" w:bidi="zh-CN"/>
    </w:rPr>
  </w:style>
  <w:style w:type="table" w:customStyle="1" w:styleId="41">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4E997-30D8-4762-B0A6-392423261718}">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30182</Words>
  <Characters>31412</Characters>
  <Lines>243</Lines>
  <Paragraphs>68</Paragraphs>
  <TotalTime>21</TotalTime>
  <ScaleCrop>false</ScaleCrop>
  <LinksUpToDate>false</LinksUpToDate>
  <CharactersWithSpaces>32352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2023-03-23T02:04:00Z</dcterms:created>
  <dc:creator>joanna</dc:creator>
  <cp:lastModifiedBy>李茂林</cp:lastModifiedBy>
  <cp:lastPrinted>2022-10-12T05:10:00Z</cp:lastPrinted>
  <dcterms:modified xsi:type="dcterms:W3CDTF">2023-03-23T03:04:00Z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0FE4DB5E6B924FFAAC10DBEC67A468AD</vt:lpwstr>
  </property>
</Properties>
</file>