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方正小标宋简体" w:eastAsia="方正小标宋简体" w:cs="方正小标宋简体"/>
          <w:sz w:val="44"/>
          <w:szCs w:val="44"/>
          <w:highlight w:val="none"/>
        </w:rPr>
      </w:pPr>
      <w:bookmarkStart w:id="0" w:name="_Toc301789207"/>
      <w:r>
        <w:rPr>
          <w:rFonts w:hint="eastAsia" w:ascii="方正小标宋简体" w:hAnsi="方正小标宋简体" w:eastAsia="方正小标宋简体" w:cs="方正小标宋简体"/>
          <w:sz w:val="44"/>
          <w:szCs w:val="44"/>
          <w:highlight w:val="none"/>
        </w:rPr>
        <w:t>四川蜀物路面材料有限公司</w:t>
      </w:r>
    </w:p>
    <w:p>
      <w:pPr>
        <w:spacing w:line="600" w:lineRule="exact"/>
        <w:ind w:right="160" w:rightChars="50" w:firstLine="0" w:firstLineChars="0"/>
        <w:jc w:val="center"/>
        <w:rPr>
          <w:rFonts w:ascii="方正小标宋简体" w:hAnsi="黑体" w:eastAsia="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G664线稻城县香格里拉至各卡（川滇界）段改造工程</w:t>
      </w:r>
      <w:r>
        <w:rPr>
          <w:rFonts w:hint="eastAsia" w:ascii="方正小标宋简体" w:hAnsi="方正小标宋简体" w:eastAsia="方正小标宋简体" w:cs="方正小标宋简体"/>
          <w:sz w:val="44"/>
          <w:szCs w:val="44"/>
          <w:highlight w:val="none"/>
        </w:rPr>
        <w:t>沥青材料公路运输</w:t>
      </w:r>
    </w:p>
    <w:p>
      <w:pPr>
        <w:spacing w:line="276" w:lineRule="auto"/>
        <w:ind w:right="160" w:rightChars="50" w:firstLine="0" w:firstLineChars="0"/>
        <w:jc w:val="center"/>
        <w:rPr>
          <w:rFonts w:ascii="仿宋_GB2312" w:hAnsi="宋体"/>
          <w:b/>
          <w:sz w:val="28"/>
          <w:szCs w:val="28"/>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bookmarkEnd w:id="0"/>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询</w:t>
      </w:r>
    </w:p>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价</w:t>
      </w:r>
    </w:p>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文</w:t>
      </w:r>
    </w:p>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件</w:t>
      </w:r>
    </w:p>
    <w:p>
      <w:pPr>
        <w:adjustRightInd w:val="0"/>
        <w:snapToGrid w:val="0"/>
        <w:spacing w:line="276" w:lineRule="auto"/>
        <w:ind w:right="160" w:rightChars="50" w:firstLine="482"/>
        <w:jc w:val="center"/>
        <w:rPr>
          <w:rFonts w:ascii="仿宋_GB2312" w:hAnsi="宋体"/>
          <w:b/>
          <w:sz w:val="24"/>
          <w:highlight w:val="none"/>
        </w:rPr>
      </w:pPr>
    </w:p>
    <w:p>
      <w:pPr>
        <w:adjustRightInd w:val="0"/>
        <w:snapToGrid w:val="0"/>
        <w:spacing w:line="276" w:lineRule="auto"/>
        <w:ind w:right="160" w:rightChars="50" w:firstLine="562"/>
        <w:jc w:val="center"/>
        <w:rPr>
          <w:rFonts w:ascii="仿宋_GB2312" w:hAnsi="宋体"/>
          <w:b/>
          <w:sz w:val="28"/>
          <w:szCs w:val="28"/>
          <w:highlight w:val="none"/>
        </w:rPr>
      </w:pPr>
    </w:p>
    <w:p>
      <w:pPr>
        <w:adjustRightInd w:val="0"/>
        <w:snapToGrid w:val="0"/>
        <w:spacing w:line="276" w:lineRule="auto"/>
        <w:ind w:right="160" w:rightChars="50" w:firstLine="562"/>
        <w:jc w:val="center"/>
        <w:rPr>
          <w:rFonts w:ascii="仿宋_GB2312" w:hAnsi="宋体"/>
          <w:b/>
          <w:sz w:val="28"/>
          <w:szCs w:val="28"/>
          <w:highlight w:val="none"/>
        </w:rPr>
      </w:pPr>
    </w:p>
    <w:p>
      <w:pPr>
        <w:adjustRightInd w:val="0"/>
        <w:snapToGrid w:val="0"/>
        <w:spacing w:line="276" w:lineRule="auto"/>
        <w:ind w:right="160" w:rightChars="50" w:firstLine="562"/>
        <w:jc w:val="center"/>
        <w:rPr>
          <w:rFonts w:ascii="仿宋_GB2312" w:hAnsi="宋体"/>
          <w:b/>
          <w:sz w:val="28"/>
          <w:szCs w:val="28"/>
          <w:highlight w:val="none"/>
        </w:rPr>
      </w:pPr>
    </w:p>
    <w:p>
      <w:pPr>
        <w:adjustRightInd w:val="0"/>
        <w:snapToGrid w:val="0"/>
        <w:spacing w:line="276" w:lineRule="auto"/>
        <w:ind w:right="160" w:rightChars="50" w:firstLine="480"/>
        <w:rPr>
          <w:rFonts w:ascii="仿宋_GB2312" w:hAnsi="宋体"/>
          <w:sz w:val="24"/>
          <w:highlight w:val="none"/>
        </w:rPr>
      </w:pPr>
    </w:p>
    <w:p>
      <w:pPr>
        <w:adjustRightInd w:val="0"/>
        <w:snapToGrid w:val="0"/>
        <w:spacing w:line="600" w:lineRule="exact"/>
        <w:ind w:right="160" w:rightChars="50"/>
        <w:jc w:val="center"/>
        <w:rPr>
          <w:rFonts w:ascii="方正小标宋简体" w:hAnsi="宋体" w:eastAsia="方正小标宋简体"/>
          <w:szCs w:val="32"/>
          <w:highlight w:val="none"/>
        </w:rPr>
      </w:pPr>
      <w:r>
        <w:rPr>
          <w:rFonts w:hint="eastAsia" w:ascii="方正小标宋简体" w:hAnsi="宋体" w:eastAsia="方正小标宋简体"/>
          <w:szCs w:val="32"/>
          <w:highlight w:val="none"/>
        </w:rPr>
        <w:t>四川蜀物路面材料有限公司</w:t>
      </w:r>
    </w:p>
    <w:p>
      <w:pPr>
        <w:adjustRightInd w:val="0"/>
        <w:snapToGrid w:val="0"/>
        <w:spacing w:line="600" w:lineRule="exact"/>
        <w:ind w:right="160" w:rightChars="50"/>
        <w:jc w:val="center"/>
        <w:rPr>
          <w:rFonts w:ascii="方正小标宋简体" w:hAnsi="宋体" w:eastAsia="方正小标宋简体"/>
          <w:szCs w:val="32"/>
          <w:highlight w:val="none"/>
        </w:rPr>
      </w:pPr>
      <w:r>
        <w:rPr>
          <w:rFonts w:hint="eastAsia" w:ascii="方正小标宋简体" w:hAnsi="宋体" w:eastAsia="方正小标宋简体"/>
          <w:szCs w:val="32"/>
          <w:highlight w:val="none"/>
        </w:rPr>
        <w:t>202</w:t>
      </w:r>
      <w:r>
        <w:rPr>
          <w:rFonts w:hint="eastAsia" w:ascii="方正小标宋简体" w:hAnsi="宋体" w:eastAsia="方正小标宋简体"/>
          <w:szCs w:val="32"/>
          <w:highlight w:val="none"/>
          <w:lang w:val="en-US" w:eastAsia="zh-CN"/>
        </w:rPr>
        <w:t>4</w:t>
      </w:r>
      <w:r>
        <w:rPr>
          <w:rFonts w:hint="eastAsia" w:ascii="方正小标宋简体" w:hAnsi="宋体" w:eastAsia="方正小标宋简体"/>
          <w:szCs w:val="32"/>
          <w:highlight w:val="none"/>
        </w:rPr>
        <w:t>年</w:t>
      </w:r>
      <w:r>
        <w:rPr>
          <w:rFonts w:hint="eastAsia" w:ascii="方正小标宋简体" w:hAnsi="宋体" w:eastAsia="方正小标宋简体"/>
          <w:szCs w:val="32"/>
          <w:highlight w:val="none"/>
          <w:lang w:val="en-US" w:eastAsia="zh-CN"/>
        </w:rPr>
        <w:t>8</w:t>
      </w:r>
      <w:r>
        <w:rPr>
          <w:rFonts w:hint="eastAsia" w:ascii="方正小标宋简体" w:hAnsi="宋体" w:eastAsia="方正小标宋简体"/>
          <w:szCs w:val="32"/>
          <w:highlight w:val="none"/>
        </w:rPr>
        <w:t>月</w:t>
      </w:r>
    </w:p>
    <w:p>
      <w:pPr>
        <w:widowControl/>
        <w:spacing w:line="360" w:lineRule="auto"/>
        <w:ind w:firstLine="562"/>
        <w:jc w:val="left"/>
        <w:rPr>
          <w:rFonts w:ascii="仿宋_GB2312" w:hAnsi="宋体"/>
          <w:b/>
          <w:kern w:val="0"/>
          <w:sz w:val="28"/>
          <w:szCs w:val="28"/>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start="0"/>
          <w:cols w:space="720" w:num="1"/>
        </w:sectPr>
      </w:pPr>
    </w:p>
    <w:p>
      <w:pPr>
        <w:ind w:firstLine="0" w:firstLineChars="0"/>
        <w:jc w:val="center"/>
        <w:rPr>
          <w:rFonts w:eastAsia="黑体"/>
          <w:szCs w:val="32"/>
          <w:highlight w:val="none"/>
        </w:rPr>
      </w:pPr>
      <w:r>
        <w:rPr>
          <w:rFonts w:eastAsia="黑体"/>
          <w:szCs w:val="32"/>
          <w:highlight w:val="none"/>
        </w:rPr>
        <w:t>四川蜀物路面材料有限公司</w:t>
      </w:r>
    </w:p>
    <w:p>
      <w:pPr>
        <w:pStyle w:val="2"/>
        <w:ind w:firstLine="0" w:firstLineChars="0"/>
        <w:jc w:val="center"/>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G664线稻城县香格里拉至各卡（川滇界）段改造工程</w:t>
      </w:r>
      <w:r>
        <w:rPr>
          <w:rFonts w:hint="eastAsia" w:ascii="Times New Roman" w:hAnsi="Times New Roman" w:eastAsia="黑体"/>
          <w:sz w:val="32"/>
          <w:szCs w:val="32"/>
          <w:highlight w:val="none"/>
          <w:lang w:val="en-US" w:eastAsia="zh-CN"/>
        </w:rPr>
        <w:t>沥青材料公路运输</w:t>
      </w:r>
      <w:r>
        <w:rPr>
          <w:rFonts w:ascii="Times New Roman" w:hAnsi="Times New Roman" w:eastAsia="黑体"/>
          <w:sz w:val="32"/>
          <w:szCs w:val="32"/>
          <w:highlight w:val="none"/>
        </w:rPr>
        <w:t>公开询价公告</w:t>
      </w:r>
    </w:p>
    <w:p>
      <w:pPr>
        <w:pStyle w:val="13"/>
        <w:spacing w:beforeAutospacing="0" w:afterAutospacing="0"/>
        <w:ind w:firstLine="560"/>
        <w:jc w:val="both"/>
        <w:rPr>
          <w:kern w:val="2"/>
          <w:sz w:val="28"/>
          <w:highlight w:val="none"/>
        </w:rPr>
      </w:pPr>
      <w:r>
        <w:rPr>
          <w:kern w:val="2"/>
          <w:sz w:val="28"/>
          <w:highlight w:val="none"/>
        </w:rPr>
        <w:t>1．条件</w:t>
      </w:r>
    </w:p>
    <w:p>
      <w:pPr>
        <w:pStyle w:val="13"/>
        <w:spacing w:beforeAutospacing="0" w:afterAutospacing="0"/>
        <w:ind w:firstLine="560"/>
        <w:rPr>
          <w:kern w:val="2"/>
          <w:sz w:val="28"/>
          <w:highlight w:val="none"/>
        </w:rPr>
      </w:pPr>
      <w:r>
        <w:rPr>
          <w:rFonts w:hint="eastAsia"/>
          <w:kern w:val="2"/>
          <w:sz w:val="28"/>
          <w:highlight w:val="none"/>
        </w:rPr>
        <w:t>为保障建设项目</w:t>
      </w:r>
      <w:r>
        <w:rPr>
          <w:kern w:val="2"/>
          <w:sz w:val="28"/>
          <w:highlight w:val="none"/>
        </w:rPr>
        <w:t>沥青材料</w:t>
      </w:r>
      <w:r>
        <w:rPr>
          <w:rFonts w:hint="eastAsia"/>
          <w:kern w:val="2"/>
          <w:sz w:val="28"/>
          <w:highlight w:val="none"/>
        </w:rPr>
        <w:t>供应工作顺利高效开展，</w:t>
      </w:r>
      <w:r>
        <w:rPr>
          <w:kern w:val="2"/>
          <w:sz w:val="28"/>
          <w:highlight w:val="none"/>
        </w:rPr>
        <w:t>四川蜀物路面材料有限公司</w:t>
      </w:r>
      <w:r>
        <w:rPr>
          <w:rFonts w:hint="eastAsia"/>
          <w:kern w:val="2"/>
          <w:sz w:val="28"/>
          <w:highlight w:val="none"/>
        </w:rPr>
        <w:t>拟对</w:t>
      </w:r>
      <w:r>
        <w:rPr>
          <w:rFonts w:hint="eastAsia"/>
          <w:kern w:val="2"/>
          <w:sz w:val="28"/>
          <w:highlight w:val="none"/>
          <w:lang w:eastAsia="zh-CN"/>
        </w:rPr>
        <w:t>G664线稻城县香格里拉至各卡（川滇界）段改造工程</w:t>
      </w:r>
      <w:r>
        <w:rPr>
          <w:rFonts w:hint="eastAsia"/>
          <w:kern w:val="2"/>
          <w:sz w:val="28"/>
          <w:highlight w:val="none"/>
        </w:rPr>
        <w:t>沥青材料公路运输进行公开询价</w:t>
      </w:r>
      <w:r>
        <w:rPr>
          <w:kern w:val="2"/>
          <w:sz w:val="28"/>
          <w:highlight w:val="none"/>
        </w:rPr>
        <w:t>，项目资金来源为自筹，项目出资比例为100%，采购人为四川蜀物路面材料有限公司</w:t>
      </w:r>
      <w:r>
        <w:rPr>
          <w:rFonts w:hint="eastAsia"/>
          <w:kern w:val="2"/>
          <w:sz w:val="28"/>
          <w:highlight w:val="none"/>
        </w:rPr>
        <w:t>，</w:t>
      </w:r>
      <w:r>
        <w:rPr>
          <w:kern w:val="2"/>
          <w:sz w:val="28"/>
          <w:highlight w:val="none"/>
        </w:rPr>
        <w:t>现</w:t>
      </w:r>
      <w:r>
        <w:rPr>
          <w:rFonts w:hint="eastAsia"/>
          <w:kern w:val="2"/>
          <w:sz w:val="28"/>
          <w:highlight w:val="none"/>
        </w:rPr>
        <w:t>诚邀符合条件的运输商参与。</w:t>
      </w:r>
    </w:p>
    <w:p>
      <w:pPr>
        <w:pStyle w:val="13"/>
        <w:spacing w:beforeAutospacing="0" w:afterAutospacing="0"/>
        <w:ind w:firstLine="560"/>
        <w:jc w:val="both"/>
        <w:rPr>
          <w:kern w:val="2"/>
          <w:sz w:val="28"/>
          <w:highlight w:val="none"/>
        </w:rPr>
      </w:pPr>
      <w:r>
        <w:rPr>
          <w:kern w:val="2"/>
          <w:sz w:val="28"/>
          <w:highlight w:val="none"/>
        </w:rPr>
        <w:t>2．项目概况与采购范围</w:t>
      </w:r>
    </w:p>
    <w:p>
      <w:pPr>
        <w:pStyle w:val="13"/>
        <w:spacing w:beforeAutospacing="0" w:afterAutospacing="0"/>
        <w:ind w:firstLine="560"/>
        <w:rPr>
          <w:kern w:val="2"/>
          <w:sz w:val="28"/>
          <w:highlight w:val="none"/>
        </w:rPr>
      </w:pPr>
      <w:r>
        <w:rPr>
          <w:kern w:val="2"/>
          <w:sz w:val="28"/>
          <w:highlight w:val="none"/>
        </w:rPr>
        <w:t>2.1项目概况</w:t>
      </w:r>
    </w:p>
    <w:p>
      <w:pPr>
        <w:pStyle w:val="13"/>
        <w:spacing w:beforeAutospacing="0" w:afterAutospacing="0"/>
        <w:ind w:firstLine="560"/>
        <w:jc w:val="both"/>
        <w:rPr>
          <w:kern w:val="2"/>
          <w:sz w:val="28"/>
          <w:highlight w:val="none"/>
        </w:rPr>
      </w:pPr>
      <w:r>
        <w:rPr>
          <w:rFonts w:hint="eastAsia"/>
          <w:kern w:val="2"/>
          <w:sz w:val="28"/>
          <w:highlight w:val="none"/>
          <w:lang w:eastAsia="zh-CN"/>
        </w:rPr>
        <w:t>G664线稻城县香格里拉至各卡（川滇界）段改造工程路线起于稻城县香格里拉镇与国道227线K102+215处平交，沿俄初河向西，设俄初山隧道(4840米/1座)穿越俄初山，出隧道后沿东义河向南顺流而下，经卡斯村、各卡乡，在各卡乡思子功村处跨越东义河，沿浪都河向西，止于思子功附近川滇界处，与G664线云南段(现香稻路)顺接。路线全长57.311公里，其中新建段7.095公里(包含隧道约4.84公里)，改建段约50.216公里。</w:t>
      </w:r>
      <w:r>
        <w:rPr>
          <w:rFonts w:hint="default" w:ascii="Times New Roman" w:hAnsi="Times New Roman" w:eastAsia="仿宋_GB2312" w:cs="Times New Roman"/>
          <w:kern w:val="2"/>
          <w:sz w:val="28"/>
          <w:szCs w:val="24"/>
          <w:highlight w:val="none"/>
          <w:lang w:val="en-US" w:eastAsia="zh-CN" w:bidi="ar-SA"/>
        </w:rPr>
        <w:t>四川蜀物路面材料有限公司</w:t>
      </w:r>
      <w:r>
        <w:rPr>
          <w:rFonts w:hint="eastAsia" w:ascii="Times New Roman" w:hAnsi="Times New Roman" w:eastAsia="仿宋_GB2312" w:cs="Times New Roman"/>
          <w:kern w:val="2"/>
          <w:sz w:val="28"/>
          <w:szCs w:val="24"/>
          <w:highlight w:val="none"/>
          <w:lang w:val="en-US" w:eastAsia="zh-CN" w:bidi="ar-SA"/>
        </w:rPr>
        <w:t>在与工程建设单位签订材料供应合同前，</w:t>
      </w:r>
      <w:r>
        <w:rPr>
          <w:rFonts w:hint="default" w:ascii="Times New Roman" w:hAnsi="Times New Roman" w:eastAsia="仿宋_GB2312" w:cs="Times New Roman"/>
          <w:kern w:val="2"/>
          <w:sz w:val="28"/>
          <w:szCs w:val="24"/>
          <w:highlight w:val="none"/>
          <w:lang w:val="en-US" w:eastAsia="zh-CN" w:bidi="ar-SA"/>
        </w:rPr>
        <w:t>拟根据</w:t>
      </w:r>
      <w:r>
        <w:rPr>
          <w:rFonts w:hint="eastAsia" w:ascii="Times New Roman" w:hAnsi="Times New Roman" w:eastAsia="仿宋_GB2312" w:cs="Times New Roman"/>
          <w:kern w:val="2"/>
          <w:sz w:val="28"/>
          <w:szCs w:val="24"/>
          <w:highlight w:val="none"/>
          <w:lang w:val="en-US" w:eastAsia="zh-CN" w:bidi="ar-SA"/>
        </w:rPr>
        <w:t>该项目</w:t>
      </w:r>
      <w:r>
        <w:rPr>
          <w:rFonts w:hint="default" w:ascii="Times New Roman" w:hAnsi="Times New Roman" w:eastAsia="仿宋_GB2312" w:cs="Times New Roman"/>
          <w:kern w:val="2"/>
          <w:sz w:val="28"/>
          <w:szCs w:val="24"/>
          <w:highlight w:val="none"/>
          <w:lang w:val="en-US" w:eastAsia="zh-CN" w:bidi="ar-SA"/>
        </w:rPr>
        <w:t>沥青供应业务</w:t>
      </w:r>
      <w:r>
        <w:rPr>
          <w:rFonts w:hint="eastAsia" w:cs="Times New Roman"/>
          <w:kern w:val="2"/>
          <w:sz w:val="28"/>
          <w:szCs w:val="24"/>
          <w:highlight w:val="none"/>
          <w:lang w:val="en-US" w:eastAsia="zh-CN" w:bidi="ar-SA"/>
        </w:rPr>
        <w:t>预估</w:t>
      </w:r>
      <w:r>
        <w:rPr>
          <w:rFonts w:hint="default" w:ascii="Times New Roman" w:hAnsi="Times New Roman" w:eastAsia="仿宋_GB2312" w:cs="Times New Roman"/>
          <w:kern w:val="2"/>
          <w:sz w:val="28"/>
          <w:szCs w:val="24"/>
          <w:highlight w:val="none"/>
          <w:lang w:val="en-US" w:eastAsia="zh-CN" w:bidi="ar-SA"/>
        </w:rPr>
        <w:t>情况，向市场具备沥青承运资质的供应商进行公开询价，根据工程施工需要运输沥青材料至施工工地</w:t>
      </w:r>
      <w:r>
        <w:rPr>
          <w:rFonts w:hint="eastAsia" w:cs="Times New Roman"/>
          <w:kern w:val="2"/>
          <w:sz w:val="28"/>
          <w:szCs w:val="24"/>
          <w:highlight w:val="none"/>
          <w:lang w:val="en-US" w:eastAsia="zh-CN" w:bidi="ar-SA"/>
        </w:rPr>
        <w:t>，</w:t>
      </w:r>
      <w:r>
        <w:rPr>
          <w:rFonts w:hint="eastAsia"/>
          <w:kern w:val="2"/>
          <w:sz w:val="28"/>
          <w:highlight w:val="none"/>
        </w:rPr>
        <w:t>运输服务质量要求详见附件1。</w:t>
      </w:r>
    </w:p>
    <w:p>
      <w:pPr>
        <w:pStyle w:val="13"/>
        <w:spacing w:beforeAutospacing="0" w:afterAutospacing="0"/>
        <w:ind w:firstLine="560"/>
        <w:jc w:val="both"/>
        <w:rPr>
          <w:kern w:val="2"/>
          <w:sz w:val="28"/>
          <w:highlight w:val="none"/>
        </w:rPr>
      </w:pPr>
      <w:r>
        <w:rPr>
          <w:kern w:val="2"/>
          <w:sz w:val="28"/>
          <w:highlight w:val="none"/>
        </w:rPr>
        <w:t>2.2报价须知</w:t>
      </w:r>
    </w:p>
    <w:p>
      <w:pPr>
        <w:pStyle w:val="13"/>
        <w:spacing w:beforeAutospacing="0" w:afterAutospacing="0"/>
        <w:ind w:firstLine="560"/>
        <w:jc w:val="both"/>
        <w:rPr>
          <w:kern w:val="2"/>
          <w:sz w:val="28"/>
          <w:highlight w:val="none"/>
        </w:rPr>
      </w:pPr>
      <w:r>
        <w:rPr>
          <w:rFonts w:hint="default" w:ascii="Times New Roman" w:hAnsi="Times New Roman" w:eastAsia="仿宋_GB2312" w:cs="Times New Roman"/>
          <w:kern w:val="2"/>
          <w:sz w:val="28"/>
          <w:szCs w:val="24"/>
          <w:highlight w:val="none"/>
          <w:lang w:val="en-US" w:eastAsia="zh-CN" w:bidi="ar-SA"/>
        </w:rPr>
        <w:t>本次询价方式选取运输承运方仅为四川蜀物路面材料有限公司与工程建设单位签订材料供应合同的前置流程，不作为申请人中选后确定交付执行的承运量、承运距离承诺。申请人中选后，采购人将根据实际与工程建设单位谈判或招标</w:t>
      </w:r>
      <w:r>
        <w:rPr>
          <w:rFonts w:hint="eastAsia" w:ascii="Times New Roman" w:hAnsi="Times New Roman" w:eastAsia="仿宋_GB2312" w:cs="Times New Roman"/>
          <w:kern w:val="2"/>
          <w:sz w:val="28"/>
          <w:szCs w:val="24"/>
          <w:highlight w:val="none"/>
          <w:lang w:val="en-US" w:eastAsia="zh-CN" w:bidi="ar-SA"/>
        </w:rPr>
        <w:t>达成的项目</w:t>
      </w:r>
      <w:r>
        <w:rPr>
          <w:rFonts w:hint="default" w:ascii="Times New Roman" w:hAnsi="Times New Roman" w:eastAsia="仿宋_GB2312" w:cs="Times New Roman"/>
          <w:kern w:val="2"/>
          <w:sz w:val="28"/>
          <w:szCs w:val="24"/>
          <w:highlight w:val="none"/>
          <w:lang w:val="en-US" w:eastAsia="zh-CN" w:bidi="ar-SA"/>
        </w:rPr>
        <w:t>取得情况，将对应</w:t>
      </w:r>
      <w:r>
        <w:rPr>
          <w:rFonts w:hint="eastAsia" w:ascii="Times New Roman" w:hAnsi="Times New Roman" w:eastAsia="仿宋_GB2312" w:cs="Times New Roman"/>
          <w:kern w:val="2"/>
          <w:sz w:val="28"/>
          <w:szCs w:val="24"/>
          <w:highlight w:val="none"/>
          <w:lang w:val="en-US" w:eastAsia="zh-CN" w:bidi="ar-SA"/>
        </w:rPr>
        <w:t>路段的沥青材料</w:t>
      </w:r>
      <w:r>
        <w:rPr>
          <w:rFonts w:hint="default" w:ascii="Times New Roman" w:hAnsi="Times New Roman" w:eastAsia="仿宋_GB2312" w:cs="Times New Roman"/>
          <w:kern w:val="2"/>
          <w:sz w:val="28"/>
          <w:szCs w:val="24"/>
          <w:highlight w:val="none"/>
          <w:lang w:val="en-US" w:eastAsia="zh-CN" w:bidi="ar-SA"/>
        </w:rPr>
        <w:t>承运工作交中选人执行。</w:t>
      </w:r>
      <w:r>
        <w:rPr>
          <w:rFonts w:hint="eastAsia"/>
          <w:kern w:val="2"/>
          <w:sz w:val="28"/>
          <w:highlight w:val="none"/>
        </w:rPr>
        <w:t>本项目采用</w:t>
      </w:r>
      <w:r>
        <w:rPr>
          <w:rFonts w:hint="eastAsia"/>
          <w:kern w:val="2"/>
          <w:sz w:val="28"/>
          <w:highlight w:val="none"/>
          <w:lang w:val="en-US" w:eastAsia="zh-CN"/>
        </w:rPr>
        <w:t>经评审的最低价中标法</w:t>
      </w:r>
      <w:r>
        <w:rPr>
          <w:rFonts w:hint="eastAsia"/>
          <w:kern w:val="2"/>
          <w:sz w:val="28"/>
          <w:highlight w:val="none"/>
        </w:rPr>
        <w:t>，</w:t>
      </w:r>
      <w:r>
        <w:rPr>
          <w:rFonts w:hint="eastAsia"/>
          <w:kern w:val="2"/>
          <w:sz w:val="28"/>
          <w:highlight w:val="none"/>
          <w:lang w:val="en-US" w:eastAsia="zh-CN"/>
        </w:rPr>
        <w:t>并</w:t>
      </w:r>
      <w:r>
        <w:rPr>
          <w:rFonts w:hint="eastAsia"/>
          <w:kern w:val="2"/>
          <w:sz w:val="28"/>
          <w:highlight w:val="none"/>
        </w:rPr>
        <w:t>设置低于成本报价评审，申请人报价低于</w:t>
      </w:r>
      <w:r>
        <w:rPr>
          <w:rFonts w:hint="eastAsia"/>
          <w:kern w:val="2"/>
          <w:sz w:val="28"/>
          <w:highlight w:val="none"/>
          <w:lang w:val="en-US" w:eastAsia="zh-CN"/>
        </w:rPr>
        <w:t>所有</w:t>
      </w:r>
      <w:r>
        <w:rPr>
          <w:rFonts w:hint="eastAsia"/>
          <w:kern w:val="2"/>
          <w:sz w:val="28"/>
          <w:highlight w:val="none"/>
        </w:rPr>
        <w:t>有效申请人报价算术平均价90%的，采购人可以认为该申请人</w:t>
      </w:r>
      <w:r>
        <w:rPr>
          <w:kern w:val="2"/>
          <w:sz w:val="28"/>
          <w:highlight w:val="none"/>
        </w:rPr>
        <w:t>报价明显低于其他实质性响应的供应商报价</w:t>
      </w:r>
      <w:r>
        <w:rPr>
          <w:rFonts w:hint="eastAsia"/>
          <w:kern w:val="2"/>
          <w:sz w:val="28"/>
          <w:highlight w:val="none"/>
        </w:rPr>
        <w:t>，启动低于成本价的评审程序。</w:t>
      </w:r>
    </w:p>
    <w:p>
      <w:pPr>
        <w:pStyle w:val="13"/>
        <w:spacing w:beforeAutospacing="0" w:afterAutospacing="0"/>
        <w:ind w:firstLine="560"/>
        <w:jc w:val="both"/>
        <w:rPr>
          <w:kern w:val="2"/>
          <w:sz w:val="28"/>
          <w:highlight w:val="none"/>
        </w:rPr>
      </w:pPr>
      <w:r>
        <w:rPr>
          <w:rFonts w:hint="eastAsia"/>
          <w:kern w:val="2"/>
          <w:sz w:val="28"/>
          <w:highlight w:val="none"/>
        </w:rPr>
        <w:t>申请人响应报价应为从接受材料到运至本项目</w:t>
      </w:r>
      <w:r>
        <w:rPr>
          <w:rFonts w:hint="eastAsia"/>
          <w:kern w:val="2"/>
          <w:sz w:val="28"/>
          <w:highlight w:val="none"/>
          <w:lang w:val="en-US" w:eastAsia="zh-CN"/>
        </w:rPr>
        <w:t>指定施工地址</w:t>
      </w:r>
      <w:r>
        <w:rPr>
          <w:rFonts w:hint="eastAsia"/>
          <w:kern w:val="2"/>
          <w:sz w:val="28"/>
          <w:highlight w:val="none"/>
        </w:rPr>
        <w:t>的所有费用，包含但不限于人工费、9%税票费用、过路过桥费、装卸费、运杂费、管理费、运输监管系统使用费、货车监控终端购置费、保险费、管理费、票据贴息费、利润及税金等所有费用以及合同明示或暗示的所有责任、义务和一般风险所需的费用</w:t>
      </w:r>
      <w:r>
        <w:rPr>
          <w:rFonts w:hint="eastAsia"/>
          <w:kern w:val="2"/>
          <w:sz w:val="28"/>
          <w:highlight w:val="none"/>
          <w:lang w:eastAsia="zh-CN"/>
        </w:rPr>
        <w:t>。</w:t>
      </w:r>
      <w:r>
        <w:rPr>
          <w:rFonts w:hint="eastAsia"/>
          <w:kern w:val="2"/>
          <w:sz w:val="28"/>
          <w:highlight w:val="none"/>
        </w:rPr>
        <w:t>如中选，申请人在运输服务合同约定期间内，不得以运输货物量变化或道路运输路线调整等其他任何理由而要求进行单价调整。</w:t>
      </w:r>
    </w:p>
    <w:p>
      <w:pPr>
        <w:pStyle w:val="13"/>
        <w:spacing w:beforeAutospacing="0" w:afterAutospacing="0"/>
        <w:ind w:firstLine="560"/>
        <w:jc w:val="both"/>
        <w:rPr>
          <w:kern w:val="2"/>
          <w:sz w:val="28"/>
          <w:highlight w:val="none"/>
        </w:rPr>
      </w:pPr>
      <w:r>
        <w:rPr>
          <w:kern w:val="2"/>
          <w:sz w:val="28"/>
          <w:highlight w:val="none"/>
        </w:rPr>
        <w:t>2.3采购范围</w:t>
      </w:r>
    </w:p>
    <w:p>
      <w:pPr>
        <w:pStyle w:val="13"/>
        <w:spacing w:beforeAutospacing="0" w:afterAutospacing="0" w:line="300" w:lineRule="exact"/>
        <w:ind w:firstLine="560"/>
        <w:jc w:val="both"/>
        <w:rPr>
          <w:kern w:val="2"/>
          <w:sz w:val="28"/>
          <w:highlight w:val="none"/>
        </w:rPr>
      </w:pPr>
      <w:r>
        <w:rPr>
          <w:kern w:val="2"/>
          <w:sz w:val="28"/>
          <w:highlight w:val="none"/>
        </w:rPr>
        <w:t>本次采购共划分</w:t>
      </w:r>
      <w:r>
        <w:rPr>
          <w:rFonts w:hint="eastAsia"/>
          <w:kern w:val="2"/>
          <w:sz w:val="28"/>
          <w:highlight w:val="none"/>
        </w:rPr>
        <w:t>1</w:t>
      </w:r>
      <w:r>
        <w:rPr>
          <w:kern w:val="2"/>
          <w:sz w:val="28"/>
          <w:highlight w:val="none"/>
        </w:rPr>
        <w:t>个包件，具体内容如下表</w:t>
      </w:r>
      <w:r>
        <w:rPr>
          <w:rFonts w:hint="eastAsia"/>
          <w:kern w:val="2"/>
          <w:sz w:val="28"/>
          <w:highlight w:val="none"/>
        </w:rPr>
        <w:t>：</w:t>
      </w:r>
    </w:p>
    <w:tbl>
      <w:tblPr>
        <w:tblStyle w:val="15"/>
        <w:tblpPr w:leftFromText="180" w:rightFromText="180" w:vertAnchor="text" w:horzAnchor="page" w:tblpX="2081" w:tblpY="417"/>
        <w:tblOverlap w:val="never"/>
        <w:tblW w:w="8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950"/>
        <w:gridCol w:w="1868"/>
        <w:gridCol w:w="124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8" w:type="dxa"/>
            <w:vAlign w:val="center"/>
          </w:tcPr>
          <w:p>
            <w:pPr>
              <w:pStyle w:val="13"/>
              <w:spacing w:beforeAutospacing="0" w:afterAutospacing="0" w:line="300" w:lineRule="exact"/>
              <w:ind w:firstLine="0" w:firstLineChars="0"/>
              <w:jc w:val="center"/>
              <w:rPr>
                <w:kern w:val="2"/>
                <w:highlight w:val="none"/>
              </w:rPr>
            </w:pPr>
            <w:r>
              <w:rPr>
                <w:kern w:val="2"/>
                <w:highlight w:val="none"/>
              </w:rPr>
              <w:t>序号</w:t>
            </w:r>
          </w:p>
        </w:tc>
        <w:tc>
          <w:tcPr>
            <w:tcW w:w="1950" w:type="dxa"/>
            <w:vAlign w:val="center"/>
          </w:tcPr>
          <w:p>
            <w:pPr>
              <w:pStyle w:val="13"/>
              <w:spacing w:beforeAutospacing="0" w:afterAutospacing="0" w:line="300" w:lineRule="exact"/>
              <w:ind w:firstLine="0" w:firstLineChars="0"/>
              <w:jc w:val="center"/>
              <w:rPr>
                <w:kern w:val="2"/>
                <w:highlight w:val="none"/>
              </w:rPr>
            </w:pPr>
            <w:r>
              <w:rPr>
                <w:kern w:val="2"/>
                <w:highlight w:val="none"/>
              </w:rPr>
              <w:t>发货地</w:t>
            </w:r>
          </w:p>
        </w:tc>
        <w:tc>
          <w:tcPr>
            <w:tcW w:w="1868" w:type="dxa"/>
            <w:vAlign w:val="center"/>
          </w:tcPr>
          <w:p>
            <w:pPr>
              <w:pStyle w:val="13"/>
              <w:spacing w:beforeAutospacing="0" w:afterAutospacing="0" w:line="300" w:lineRule="exact"/>
              <w:ind w:firstLine="0" w:firstLineChars="0"/>
              <w:jc w:val="center"/>
              <w:rPr>
                <w:kern w:val="2"/>
                <w:highlight w:val="none"/>
              </w:rPr>
            </w:pPr>
            <w:r>
              <w:rPr>
                <w:kern w:val="2"/>
                <w:highlight w:val="none"/>
              </w:rPr>
              <w:t>收货地点</w:t>
            </w:r>
          </w:p>
        </w:tc>
        <w:tc>
          <w:tcPr>
            <w:tcW w:w="1245" w:type="dxa"/>
            <w:vAlign w:val="center"/>
          </w:tcPr>
          <w:p>
            <w:pPr>
              <w:pStyle w:val="13"/>
              <w:spacing w:beforeAutospacing="0" w:afterAutospacing="0" w:line="300" w:lineRule="exact"/>
              <w:ind w:firstLine="0" w:firstLineChars="0"/>
              <w:jc w:val="center"/>
              <w:rPr>
                <w:kern w:val="2"/>
                <w:highlight w:val="none"/>
              </w:rPr>
            </w:pPr>
            <w:r>
              <w:rPr>
                <w:kern w:val="2"/>
                <w:highlight w:val="none"/>
              </w:rPr>
              <w:t>预估数量（吨）</w:t>
            </w:r>
          </w:p>
        </w:tc>
        <w:tc>
          <w:tcPr>
            <w:tcW w:w="2372" w:type="dxa"/>
            <w:vAlign w:val="center"/>
          </w:tcPr>
          <w:p>
            <w:pPr>
              <w:pStyle w:val="13"/>
              <w:spacing w:beforeAutospacing="0" w:afterAutospacing="0" w:line="300" w:lineRule="exact"/>
              <w:ind w:firstLine="0" w:firstLineChars="0"/>
              <w:jc w:val="center"/>
              <w:rPr>
                <w:rFonts w:hint="default" w:eastAsia="仿宋_GB2312"/>
                <w:kern w:val="2"/>
                <w:highlight w:val="none"/>
                <w:lang w:val="en-US" w:eastAsia="zh-CN"/>
              </w:rPr>
            </w:pPr>
            <w:r>
              <w:rPr>
                <w:rFonts w:hint="eastAsia"/>
                <w:kern w:val="2"/>
                <w:highlight w:val="no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78" w:type="dxa"/>
            <w:vAlign w:val="center"/>
          </w:tcPr>
          <w:p>
            <w:pPr>
              <w:spacing w:line="240" w:lineRule="auto"/>
              <w:ind w:firstLine="0" w:firstLineChars="0"/>
              <w:jc w:val="center"/>
              <w:rPr>
                <w:sz w:val="24"/>
                <w:highlight w:val="none"/>
              </w:rPr>
            </w:pPr>
            <w:r>
              <w:rPr>
                <w:sz w:val="24"/>
                <w:highlight w:val="none"/>
              </w:rPr>
              <w:t>1</w:t>
            </w:r>
          </w:p>
        </w:tc>
        <w:tc>
          <w:tcPr>
            <w:tcW w:w="1950" w:type="dxa"/>
            <w:vAlign w:val="center"/>
          </w:tcPr>
          <w:p>
            <w:pPr>
              <w:spacing w:line="240" w:lineRule="auto"/>
              <w:ind w:firstLine="0" w:firstLineChars="0"/>
              <w:jc w:val="center"/>
              <w:rPr>
                <w:rFonts w:hint="default" w:eastAsia="仿宋_GB2312"/>
                <w:sz w:val="24"/>
                <w:highlight w:val="none"/>
                <w:lang w:val="en-US" w:eastAsia="zh-CN"/>
              </w:rPr>
            </w:pPr>
            <w:r>
              <w:rPr>
                <w:rFonts w:hint="eastAsia"/>
                <w:sz w:val="24"/>
                <w:highlight w:val="none"/>
                <w:lang w:val="en-US" w:eastAsia="zh-CN"/>
              </w:rPr>
              <w:t>云南省昆明市安宁市</w:t>
            </w:r>
            <w:r>
              <w:rPr>
                <w:rFonts w:hint="default" w:eastAsia="仿宋_GB2312"/>
                <w:sz w:val="24"/>
                <w:highlight w:val="none"/>
                <w:lang w:val="en-US" w:eastAsia="zh-CN"/>
              </w:rPr>
              <w:t>区</w:t>
            </w:r>
            <w:r>
              <w:rPr>
                <w:rFonts w:hint="eastAsia"/>
                <w:sz w:val="24"/>
                <w:highlight w:val="none"/>
                <w:lang w:val="en-US" w:eastAsia="zh-CN"/>
              </w:rPr>
              <w:t>指定沥青库区</w:t>
            </w:r>
          </w:p>
        </w:tc>
        <w:tc>
          <w:tcPr>
            <w:tcW w:w="1868" w:type="dxa"/>
            <w:vMerge w:val="restart"/>
            <w:vAlign w:val="center"/>
          </w:tcPr>
          <w:p>
            <w:pPr>
              <w:spacing w:line="240" w:lineRule="auto"/>
              <w:ind w:firstLine="0" w:firstLineChars="0"/>
              <w:jc w:val="center"/>
              <w:rPr>
                <w:rFonts w:hint="default"/>
                <w:sz w:val="24"/>
                <w:highlight w:val="none"/>
                <w:lang w:val="en-US"/>
              </w:rPr>
            </w:pPr>
            <w:r>
              <w:rPr>
                <w:rFonts w:hint="eastAsia"/>
                <w:sz w:val="24"/>
                <w:highlight w:val="none"/>
                <w:lang w:val="en-US" w:eastAsia="zh-CN"/>
              </w:rPr>
              <w:t>甘孜州稻城县(G664线稻城县香格里拉至各卡（川滇界）段改造工程指定拌合站）</w:t>
            </w:r>
          </w:p>
        </w:tc>
        <w:tc>
          <w:tcPr>
            <w:tcW w:w="1245" w:type="dxa"/>
            <w:vAlign w:val="center"/>
          </w:tcPr>
          <w:p>
            <w:pPr>
              <w:spacing w:line="240" w:lineRule="auto"/>
              <w:ind w:firstLine="0" w:firstLineChars="0"/>
              <w:jc w:val="center"/>
              <w:rPr>
                <w:rFonts w:hint="default" w:eastAsia="仿宋_GB2312"/>
                <w:sz w:val="24"/>
                <w:highlight w:val="none"/>
                <w:lang w:val="en-US" w:eastAsia="zh-CN"/>
              </w:rPr>
            </w:pPr>
            <w:r>
              <w:rPr>
                <w:rFonts w:hint="eastAsia"/>
                <w:sz w:val="24"/>
                <w:highlight w:val="none"/>
                <w:lang w:val="en-US" w:eastAsia="zh-CN"/>
              </w:rPr>
              <w:t>9100</w:t>
            </w:r>
          </w:p>
        </w:tc>
        <w:tc>
          <w:tcPr>
            <w:tcW w:w="2372" w:type="dxa"/>
            <w:vAlign w:val="center"/>
          </w:tcPr>
          <w:p>
            <w:pPr>
              <w:spacing w:line="240" w:lineRule="auto"/>
              <w:ind w:firstLine="0" w:firstLineChars="0"/>
              <w:jc w:val="center"/>
              <w:rPr>
                <w:rFonts w:hint="default"/>
                <w:sz w:val="24"/>
                <w:highlight w:val="none"/>
                <w:lang w:val="en-US" w:eastAsia="zh-CN"/>
              </w:rPr>
            </w:pPr>
            <w:r>
              <w:rPr>
                <w:rFonts w:hint="eastAsia"/>
                <w:sz w:val="24"/>
                <w:highlight w:val="none"/>
                <w:lang w:val="en-US" w:eastAsia="zh-CN"/>
              </w:rPr>
              <w:t>0.62元/吨公里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78" w:type="dxa"/>
            <w:vAlign w:val="center"/>
          </w:tcPr>
          <w:p>
            <w:pPr>
              <w:spacing w:line="240" w:lineRule="auto"/>
              <w:ind w:firstLine="0" w:firstLineChars="0"/>
              <w:jc w:val="center"/>
              <w:rPr>
                <w:rFonts w:hint="default"/>
                <w:sz w:val="24"/>
                <w:highlight w:val="none"/>
                <w:lang w:val="en-US" w:eastAsia="zh-CN"/>
              </w:rPr>
            </w:pPr>
            <w:r>
              <w:rPr>
                <w:rFonts w:hint="eastAsia"/>
                <w:sz w:val="24"/>
                <w:highlight w:val="none"/>
                <w:lang w:val="en-US" w:eastAsia="zh-CN"/>
              </w:rPr>
              <w:t>2</w:t>
            </w:r>
          </w:p>
        </w:tc>
        <w:tc>
          <w:tcPr>
            <w:tcW w:w="1950" w:type="dxa"/>
            <w:vAlign w:val="center"/>
          </w:tcPr>
          <w:p>
            <w:pPr>
              <w:spacing w:line="240" w:lineRule="auto"/>
              <w:ind w:firstLine="0" w:firstLineChars="0"/>
              <w:jc w:val="center"/>
              <w:rPr>
                <w:rFonts w:hint="eastAsia"/>
                <w:sz w:val="24"/>
                <w:highlight w:val="none"/>
                <w:lang w:val="en-US" w:eastAsia="zh-CN"/>
              </w:rPr>
            </w:pPr>
            <w:r>
              <w:rPr>
                <w:rFonts w:hint="eastAsia"/>
                <w:sz w:val="24"/>
                <w:highlight w:val="none"/>
                <w:lang w:val="en-US" w:eastAsia="zh-CN"/>
              </w:rPr>
              <w:t>云南省昆明市安宁市</w:t>
            </w:r>
            <w:r>
              <w:rPr>
                <w:rFonts w:hint="default" w:eastAsia="仿宋_GB2312"/>
                <w:sz w:val="24"/>
                <w:highlight w:val="none"/>
                <w:lang w:val="en-US" w:eastAsia="zh-CN"/>
              </w:rPr>
              <w:t>区</w:t>
            </w:r>
            <w:r>
              <w:rPr>
                <w:rFonts w:hint="eastAsia"/>
                <w:sz w:val="24"/>
                <w:highlight w:val="none"/>
                <w:lang w:val="en-US" w:eastAsia="zh-CN"/>
              </w:rPr>
              <w:t>指定沥青库区</w:t>
            </w:r>
          </w:p>
        </w:tc>
        <w:tc>
          <w:tcPr>
            <w:tcW w:w="1868" w:type="dxa"/>
            <w:vAlign w:val="center"/>
          </w:tcPr>
          <w:p>
            <w:pPr>
              <w:spacing w:line="240" w:lineRule="auto"/>
              <w:ind w:firstLine="0" w:firstLineChars="0"/>
              <w:jc w:val="center"/>
              <w:rPr>
                <w:rFonts w:hint="default" w:eastAsia="仿宋_GB2312"/>
                <w:sz w:val="24"/>
                <w:highlight w:val="none"/>
                <w:lang w:val="en-US" w:eastAsia="zh-CN"/>
              </w:rPr>
            </w:pPr>
            <w:r>
              <w:rPr>
                <w:rFonts w:hint="eastAsia"/>
                <w:sz w:val="24"/>
                <w:highlight w:val="none"/>
                <w:lang w:val="en-US" w:eastAsia="zh-CN"/>
              </w:rPr>
              <w:t>除本项目外地的甘孜州其他施工地址</w:t>
            </w:r>
          </w:p>
        </w:tc>
        <w:tc>
          <w:tcPr>
            <w:tcW w:w="1245" w:type="dxa"/>
            <w:vAlign w:val="center"/>
          </w:tcPr>
          <w:p>
            <w:pPr>
              <w:spacing w:line="240" w:lineRule="auto"/>
              <w:ind w:firstLine="0" w:firstLineChars="0"/>
              <w:jc w:val="center"/>
              <w:rPr>
                <w:rFonts w:hint="default"/>
                <w:sz w:val="24"/>
                <w:highlight w:val="none"/>
                <w:lang w:val="en-US" w:eastAsia="zh-CN"/>
              </w:rPr>
            </w:pPr>
            <w:r>
              <w:rPr>
                <w:rFonts w:hint="eastAsia"/>
                <w:sz w:val="24"/>
                <w:highlight w:val="none"/>
                <w:lang w:val="en-US" w:eastAsia="zh-CN"/>
              </w:rPr>
              <w:t>/</w:t>
            </w:r>
          </w:p>
        </w:tc>
        <w:tc>
          <w:tcPr>
            <w:tcW w:w="2372" w:type="dxa"/>
            <w:vAlign w:val="center"/>
          </w:tcPr>
          <w:p>
            <w:pPr>
              <w:spacing w:line="240" w:lineRule="auto"/>
              <w:ind w:firstLine="0" w:firstLineChars="0"/>
              <w:jc w:val="center"/>
              <w:rPr>
                <w:rFonts w:hint="eastAsia"/>
                <w:sz w:val="24"/>
                <w:highlight w:val="none"/>
                <w:lang w:val="en-US" w:eastAsia="zh-CN"/>
              </w:rPr>
            </w:pPr>
            <w:r>
              <w:rPr>
                <w:rFonts w:hint="eastAsia"/>
                <w:sz w:val="24"/>
                <w:highlight w:val="none"/>
                <w:lang w:val="en-US" w:eastAsia="zh-CN"/>
              </w:rPr>
              <w:t>0.62元/吨公里</w:t>
            </w:r>
          </w:p>
        </w:tc>
      </w:tr>
    </w:tbl>
    <w:p>
      <w:pPr>
        <w:pStyle w:val="2"/>
        <w:keepNext w:val="0"/>
        <w:keepLines w:val="0"/>
        <w:ind w:firstLine="560"/>
        <w:rPr>
          <w:rFonts w:ascii="Times New Roman" w:hAnsi="Times New Roman"/>
          <w:highlight w:val="none"/>
        </w:rPr>
      </w:pPr>
      <w:r>
        <w:rPr>
          <w:rFonts w:ascii="Times New Roman" w:hAnsi="Times New Roman"/>
          <w:highlight w:val="none"/>
        </w:rPr>
        <w:t>3.申请人资格条件要求</w:t>
      </w:r>
    </w:p>
    <w:p>
      <w:pPr>
        <w:pStyle w:val="13"/>
        <w:spacing w:beforeAutospacing="0" w:afterAutospacing="0"/>
        <w:ind w:firstLine="560"/>
        <w:jc w:val="both"/>
        <w:rPr>
          <w:kern w:val="2"/>
          <w:sz w:val="28"/>
          <w:highlight w:val="none"/>
        </w:rPr>
      </w:pPr>
      <w:r>
        <w:rPr>
          <w:kern w:val="2"/>
          <w:sz w:val="28"/>
          <w:highlight w:val="none"/>
        </w:rPr>
        <w:t>3.1申请人须为在中华人民共和国境内依法注册、具有独立法人资格</w:t>
      </w:r>
      <w:r>
        <w:rPr>
          <w:rFonts w:hint="eastAsia"/>
          <w:kern w:val="2"/>
          <w:sz w:val="28"/>
          <w:highlight w:val="none"/>
        </w:rPr>
        <w:t>的单位（须</w:t>
      </w:r>
      <w:r>
        <w:rPr>
          <w:kern w:val="2"/>
          <w:sz w:val="28"/>
          <w:highlight w:val="none"/>
        </w:rPr>
        <w:t>提供营业执照副本</w:t>
      </w:r>
      <w:r>
        <w:rPr>
          <w:rFonts w:hint="eastAsia"/>
          <w:kern w:val="2"/>
          <w:sz w:val="28"/>
          <w:highlight w:val="none"/>
        </w:rPr>
        <w:t>）</w:t>
      </w:r>
      <w:r>
        <w:rPr>
          <w:kern w:val="2"/>
          <w:sz w:val="28"/>
          <w:highlight w:val="none"/>
        </w:rPr>
        <w:t>。</w:t>
      </w:r>
    </w:p>
    <w:p>
      <w:pPr>
        <w:pStyle w:val="13"/>
        <w:spacing w:beforeAutospacing="0" w:afterAutospacing="0"/>
        <w:ind w:firstLine="560"/>
        <w:jc w:val="both"/>
        <w:rPr>
          <w:kern w:val="2"/>
          <w:sz w:val="28"/>
          <w:highlight w:val="none"/>
        </w:rPr>
      </w:pPr>
      <w:r>
        <w:rPr>
          <w:kern w:val="2"/>
          <w:sz w:val="28"/>
          <w:highlight w:val="none"/>
        </w:rPr>
        <w:t>3.2具备满足本项目运输要求的道路运输经营许可</w:t>
      </w:r>
      <w:r>
        <w:rPr>
          <w:rFonts w:hint="eastAsia"/>
          <w:kern w:val="2"/>
          <w:sz w:val="28"/>
          <w:highlight w:val="none"/>
        </w:rPr>
        <w:t>证</w:t>
      </w:r>
      <w:r>
        <w:rPr>
          <w:kern w:val="2"/>
          <w:sz w:val="28"/>
          <w:highlight w:val="none"/>
        </w:rPr>
        <w:t>，可开具9%增值税专用发票；具备至少</w:t>
      </w:r>
      <w:r>
        <w:rPr>
          <w:rFonts w:hint="eastAsia"/>
          <w:kern w:val="2"/>
          <w:sz w:val="28"/>
          <w:highlight w:val="none"/>
          <w:lang w:val="en-US" w:eastAsia="zh-CN"/>
        </w:rPr>
        <w:t>8</w:t>
      </w:r>
      <w:r>
        <w:rPr>
          <w:kern w:val="2"/>
          <w:sz w:val="28"/>
          <w:highlight w:val="none"/>
        </w:rPr>
        <w:t>辆</w:t>
      </w:r>
      <w:r>
        <w:rPr>
          <w:rFonts w:hint="eastAsia"/>
          <w:kern w:val="2"/>
          <w:sz w:val="28"/>
          <w:highlight w:val="none"/>
        </w:rPr>
        <w:t>可</w:t>
      </w:r>
      <w:r>
        <w:rPr>
          <w:rFonts w:hint="eastAsia"/>
          <w:kern w:val="2"/>
          <w:sz w:val="28"/>
          <w:highlight w:val="none"/>
          <w:lang w:val="en-US" w:eastAsia="zh-CN"/>
        </w:rPr>
        <w:t>专</w:t>
      </w:r>
      <w:r>
        <w:rPr>
          <w:rFonts w:hint="eastAsia"/>
          <w:kern w:val="2"/>
          <w:sz w:val="28"/>
          <w:highlight w:val="none"/>
        </w:rPr>
        <w:t>用于本项目</w:t>
      </w:r>
      <w:r>
        <w:rPr>
          <w:kern w:val="2"/>
          <w:sz w:val="28"/>
          <w:highlight w:val="none"/>
        </w:rPr>
        <w:t>沥青运输车辆</w:t>
      </w:r>
      <w:r>
        <w:rPr>
          <w:rFonts w:hint="eastAsia"/>
          <w:kern w:val="2"/>
          <w:sz w:val="28"/>
          <w:highlight w:val="none"/>
        </w:rPr>
        <w:t>（</w:t>
      </w:r>
      <w:r>
        <w:rPr>
          <w:kern w:val="2"/>
          <w:sz w:val="28"/>
          <w:highlight w:val="none"/>
        </w:rPr>
        <w:t>须提供</w:t>
      </w:r>
      <w:r>
        <w:rPr>
          <w:rFonts w:hint="eastAsia"/>
          <w:kern w:val="2"/>
          <w:sz w:val="28"/>
          <w:highlight w:val="none"/>
        </w:rPr>
        <w:t>道路运输许可证、</w:t>
      </w:r>
      <w:r>
        <w:rPr>
          <w:kern w:val="2"/>
          <w:sz w:val="28"/>
          <w:highlight w:val="none"/>
        </w:rPr>
        <w:t>行驶证复印件，且运输车辆</w:t>
      </w:r>
      <w:r>
        <w:rPr>
          <w:rFonts w:hint="eastAsia"/>
          <w:kern w:val="2"/>
          <w:sz w:val="28"/>
          <w:highlight w:val="none"/>
        </w:rPr>
        <w:t>应</w:t>
      </w:r>
      <w:r>
        <w:rPr>
          <w:kern w:val="2"/>
          <w:sz w:val="28"/>
          <w:highlight w:val="none"/>
        </w:rPr>
        <w:t>在合同签订前接入采购人指定运输监管平台</w:t>
      </w:r>
      <w:r>
        <w:rPr>
          <w:rFonts w:hint="eastAsia"/>
          <w:kern w:val="2"/>
          <w:sz w:val="28"/>
          <w:highlight w:val="none"/>
          <w:lang w:eastAsia="zh-CN"/>
        </w:rPr>
        <w:t>；</w:t>
      </w:r>
      <w:r>
        <w:rPr>
          <w:rFonts w:hint="eastAsia"/>
          <w:kern w:val="2"/>
          <w:sz w:val="28"/>
          <w:highlight w:val="none"/>
          <w:lang w:val="en-US" w:eastAsia="zh-CN"/>
        </w:rPr>
        <w:t>若非申请人自有车辆，需提供证明具备车辆使用权的意向行协议</w:t>
      </w:r>
      <w:r>
        <w:rPr>
          <w:rFonts w:hint="eastAsia"/>
          <w:kern w:val="2"/>
          <w:sz w:val="28"/>
          <w:highlight w:val="none"/>
        </w:rPr>
        <w:t>）</w:t>
      </w:r>
      <w:r>
        <w:rPr>
          <w:kern w:val="2"/>
          <w:sz w:val="28"/>
          <w:highlight w:val="none"/>
        </w:rPr>
        <w:t>；</w:t>
      </w:r>
    </w:p>
    <w:p>
      <w:pPr>
        <w:pStyle w:val="13"/>
        <w:spacing w:beforeAutospacing="0" w:afterAutospacing="0"/>
        <w:ind w:firstLine="560"/>
        <w:jc w:val="both"/>
        <w:rPr>
          <w:kern w:val="2"/>
          <w:sz w:val="28"/>
          <w:highlight w:val="none"/>
        </w:rPr>
      </w:pPr>
      <w:r>
        <w:rPr>
          <w:kern w:val="2"/>
          <w:sz w:val="28"/>
          <w:highlight w:val="none"/>
        </w:rPr>
        <w:t>3.3申请人具有</w:t>
      </w:r>
      <w:r>
        <w:rPr>
          <w:rFonts w:hint="eastAsia"/>
          <w:kern w:val="2"/>
          <w:sz w:val="28"/>
          <w:highlight w:val="none"/>
        </w:rPr>
        <w:t>完善的</w:t>
      </w:r>
      <w:r>
        <w:rPr>
          <w:kern w:val="2"/>
          <w:sz w:val="28"/>
          <w:highlight w:val="none"/>
        </w:rPr>
        <w:t>财务</w:t>
      </w:r>
      <w:r>
        <w:rPr>
          <w:rFonts w:hint="eastAsia"/>
          <w:kern w:val="2"/>
          <w:sz w:val="28"/>
          <w:highlight w:val="none"/>
        </w:rPr>
        <w:t>制度（</w:t>
      </w:r>
      <w:r>
        <w:rPr>
          <w:kern w:val="2"/>
          <w:sz w:val="28"/>
          <w:highlight w:val="none"/>
        </w:rPr>
        <w:t>须提供近</w:t>
      </w:r>
      <w:r>
        <w:rPr>
          <w:rFonts w:hint="eastAsia"/>
          <w:kern w:val="2"/>
          <w:sz w:val="28"/>
          <w:highlight w:val="none"/>
        </w:rPr>
        <w:t>3</w:t>
      </w:r>
      <w:r>
        <w:rPr>
          <w:kern w:val="2"/>
          <w:sz w:val="28"/>
          <w:highlight w:val="none"/>
        </w:rPr>
        <w:t>年</w:t>
      </w:r>
      <w:r>
        <w:rPr>
          <w:rFonts w:hint="eastAsia"/>
          <w:kern w:val="2"/>
          <w:sz w:val="28"/>
          <w:highlight w:val="none"/>
          <w:lang w:eastAsia="zh-CN"/>
        </w:rPr>
        <w:t>，</w:t>
      </w:r>
      <w:r>
        <w:rPr>
          <w:kern w:val="2"/>
          <w:sz w:val="28"/>
          <w:highlight w:val="none"/>
        </w:rPr>
        <w:t>即202</w:t>
      </w:r>
      <w:r>
        <w:rPr>
          <w:rFonts w:hint="eastAsia"/>
          <w:kern w:val="2"/>
          <w:sz w:val="28"/>
          <w:highlight w:val="none"/>
          <w:lang w:val="en-US" w:eastAsia="zh-CN"/>
        </w:rPr>
        <w:t>1</w:t>
      </w:r>
      <w:r>
        <w:rPr>
          <w:kern w:val="2"/>
          <w:sz w:val="28"/>
          <w:highlight w:val="none"/>
        </w:rPr>
        <w:t>年至202</w:t>
      </w:r>
      <w:r>
        <w:rPr>
          <w:rFonts w:hint="eastAsia"/>
          <w:kern w:val="2"/>
          <w:sz w:val="28"/>
          <w:highlight w:val="none"/>
          <w:lang w:val="en-US" w:eastAsia="zh-CN"/>
        </w:rPr>
        <w:t>3</w:t>
      </w:r>
      <w:r>
        <w:rPr>
          <w:kern w:val="2"/>
          <w:sz w:val="28"/>
          <w:highlight w:val="none"/>
        </w:rPr>
        <w:t>年的财务报表或经第三方审计机构出具的财务审计报告；成立不满三年的单位，可从成立之日所在年份起提供</w:t>
      </w:r>
      <w:r>
        <w:rPr>
          <w:rFonts w:hint="eastAsia"/>
          <w:kern w:val="2"/>
          <w:sz w:val="28"/>
          <w:highlight w:val="none"/>
        </w:rPr>
        <w:t>）</w:t>
      </w:r>
      <w:r>
        <w:rPr>
          <w:kern w:val="2"/>
          <w:sz w:val="28"/>
          <w:highlight w:val="none"/>
        </w:rPr>
        <w:t>；</w:t>
      </w:r>
    </w:p>
    <w:p>
      <w:pPr>
        <w:pStyle w:val="13"/>
        <w:spacing w:beforeAutospacing="0" w:afterAutospacing="0"/>
        <w:ind w:firstLine="560"/>
        <w:jc w:val="both"/>
        <w:rPr>
          <w:kern w:val="2"/>
          <w:sz w:val="28"/>
          <w:highlight w:val="none"/>
        </w:rPr>
      </w:pPr>
      <w:r>
        <w:rPr>
          <w:kern w:val="2"/>
          <w:sz w:val="28"/>
          <w:highlight w:val="none"/>
        </w:rPr>
        <w:t>3.4申请人须具有近</w:t>
      </w:r>
      <w:r>
        <w:rPr>
          <w:rFonts w:hint="eastAsia"/>
          <w:kern w:val="2"/>
          <w:sz w:val="28"/>
          <w:highlight w:val="none"/>
        </w:rPr>
        <w:t>3</w:t>
      </w:r>
      <w:r>
        <w:rPr>
          <w:kern w:val="2"/>
          <w:sz w:val="28"/>
          <w:highlight w:val="none"/>
        </w:rPr>
        <w:t>年（即202</w:t>
      </w:r>
      <w:r>
        <w:rPr>
          <w:rFonts w:hint="eastAsia"/>
          <w:kern w:val="2"/>
          <w:sz w:val="28"/>
          <w:highlight w:val="none"/>
          <w:lang w:val="en-US" w:eastAsia="zh-CN"/>
        </w:rPr>
        <w:t>1</w:t>
      </w:r>
      <w:r>
        <w:rPr>
          <w:kern w:val="2"/>
          <w:sz w:val="28"/>
          <w:highlight w:val="none"/>
        </w:rPr>
        <w:t>年至响应截止日）的同类项目供货业绩，且业绩数量不少于</w:t>
      </w:r>
      <w:r>
        <w:rPr>
          <w:rFonts w:hint="eastAsia"/>
          <w:kern w:val="2"/>
          <w:sz w:val="28"/>
          <w:highlight w:val="none"/>
        </w:rPr>
        <w:t>1</w:t>
      </w:r>
      <w:r>
        <w:rPr>
          <w:kern w:val="2"/>
          <w:sz w:val="28"/>
          <w:highlight w:val="none"/>
        </w:rPr>
        <w:t>份（以供货合同为准，注明承运方式，提供相关合同执行情况，如项目执行过程中的发运单据凭证、增值税专用发票清单</w:t>
      </w:r>
      <w:r>
        <w:rPr>
          <w:rFonts w:hint="eastAsia"/>
          <w:kern w:val="2"/>
          <w:sz w:val="28"/>
          <w:highlight w:val="none"/>
        </w:rPr>
        <w:t>或复印件</w:t>
      </w:r>
      <w:r>
        <w:rPr>
          <w:kern w:val="2"/>
          <w:sz w:val="28"/>
          <w:highlight w:val="none"/>
        </w:rPr>
        <w:t>等）；</w:t>
      </w:r>
    </w:p>
    <w:p>
      <w:pPr>
        <w:pStyle w:val="13"/>
        <w:spacing w:beforeAutospacing="0" w:afterAutospacing="0"/>
        <w:ind w:firstLine="560"/>
        <w:jc w:val="both"/>
        <w:rPr>
          <w:kern w:val="2"/>
          <w:sz w:val="28"/>
          <w:highlight w:val="none"/>
        </w:rPr>
      </w:pPr>
      <w:r>
        <w:rPr>
          <w:kern w:val="2"/>
          <w:sz w:val="28"/>
          <w:highlight w:val="none"/>
        </w:rPr>
        <w:t>3.5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信用中国”www.creditchina.gov.cn网站查询结果为准</w:t>
      </w:r>
      <w:r>
        <w:rPr>
          <w:rFonts w:hint="eastAsia"/>
          <w:kern w:val="2"/>
          <w:sz w:val="28"/>
          <w:highlight w:val="none"/>
        </w:rPr>
        <w:t>）。</w:t>
      </w:r>
      <w:r>
        <w:rPr>
          <w:kern w:val="2"/>
          <w:sz w:val="28"/>
          <w:highlight w:val="none"/>
        </w:rPr>
        <w:t>须提供网页查询截图、信用截图或信用报告，且查询时间为本项目</w:t>
      </w:r>
      <w:r>
        <w:rPr>
          <w:rFonts w:hint="eastAsia"/>
          <w:kern w:val="2"/>
          <w:sz w:val="28"/>
          <w:highlight w:val="none"/>
        </w:rPr>
        <w:t>询价</w:t>
      </w:r>
      <w:r>
        <w:rPr>
          <w:kern w:val="2"/>
          <w:sz w:val="28"/>
          <w:highlight w:val="none"/>
        </w:rPr>
        <w:t>公告发布之日起至</w:t>
      </w:r>
      <w:r>
        <w:rPr>
          <w:rFonts w:hint="eastAsia"/>
          <w:kern w:val="2"/>
          <w:sz w:val="28"/>
          <w:highlight w:val="none"/>
        </w:rPr>
        <w:t>响应</w:t>
      </w:r>
      <w:r>
        <w:rPr>
          <w:kern w:val="2"/>
          <w:sz w:val="28"/>
          <w:highlight w:val="none"/>
        </w:rPr>
        <w:t>截止时间前，如相关失信记录已失效，申请人须提供相关证明资料；如无</w:t>
      </w:r>
      <w:r>
        <w:rPr>
          <w:rFonts w:hint="eastAsia"/>
          <w:kern w:val="2"/>
          <w:sz w:val="28"/>
          <w:highlight w:val="none"/>
          <w:lang w:val="en-US" w:eastAsia="zh-CN"/>
        </w:rPr>
        <w:t>相关查询截图，</w:t>
      </w:r>
      <w:r>
        <w:rPr>
          <w:kern w:val="2"/>
          <w:sz w:val="28"/>
          <w:highlight w:val="none"/>
        </w:rPr>
        <w:t>申请人</w:t>
      </w:r>
      <w:r>
        <w:rPr>
          <w:rFonts w:hint="eastAsia"/>
          <w:kern w:val="2"/>
          <w:sz w:val="28"/>
          <w:highlight w:val="none"/>
        </w:rPr>
        <w:t>响应</w:t>
      </w:r>
      <w:r>
        <w:rPr>
          <w:kern w:val="2"/>
          <w:sz w:val="28"/>
          <w:highlight w:val="none"/>
        </w:rPr>
        <w:t>将被否决。</w:t>
      </w:r>
    </w:p>
    <w:p>
      <w:pPr>
        <w:pStyle w:val="13"/>
        <w:spacing w:beforeAutospacing="0" w:afterAutospacing="0"/>
        <w:ind w:firstLine="560"/>
        <w:jc w:val="both"/>
        <w:rPr>
          <w:kern w:val="2"/>
          <w:sz w:val="28"/>
          <w:highlight w:val="none"/>
        </w:rPr>
      </w:pPr>
      <w:r>
        <w:rPr>
          <w:kern w:val="2"/>
          <w:sz w:val="28"/>
          <w:highlight w:val="none"/>
        </w:rPr>
        <w:t>3.6法定代表人为同一人或者存在控股、管理关系的不同企业(如：母、子公司等)，不得同时参加本项目竞价采购活动。</w:t>
      </w:r>
    </w:p>
    <w:p>
      <w:pPr>
        <w:pStyle w:val="13"/>
        <w:spacing w:beforeAutospacing="0" w:afterAutospacing="0"/>
        <w:ind w:firstLine="560"/>
        <w:jc w:val="both"/>
        <w:rPr>
          <w:kern w:val="2"/>
          <w:sz w:val="28"/>
          <w:highlight w:val="none"/>
        </w:rPr>
      </w:pPr>
      <w:r>
        <w:rPr>
          <w:kern w:val="2"/>
          <w:sz w:val="28"/>
          <w:highlight w:val="none"/>
        </w:rPr>
        <w:t>3.7本项目不接受联合体投标。</w:t>
      </w:r>
    </w:p>
    <w:p>
      <w:pPr>
        <w:pStyle w:val="2"/>
        <w:keepNext w:val="0"/>
        <w:keepLines w:val="0"/>
        <w:ind w:firstLine="560"/>
        <w:rPr>
          <w:rFonts w:ascii="Times New Roman" w:hAnsi="Times New Roman"/>
          <w:highlight w:val="none"/>
        </w:rPr>
      </w:pPr>
      <w:r>
        <w:rPr>
          <w:rFonts w:ascii="Times New Roman" w:hAnsi="Times New Roman"/>
          <w:highlight w:val="none"/>
        </w:rPr>
        <w:t>4.采购文件的获取</w:t>
      </w:r>
    </w:p>
    <w:p>
      <w:pPr>
        <w:pStyle w:val="13"/>
        <w:spacing w:beforeAutospacing="0" w:afterAutospacing="0"/>
        <w:ind w:firstLine="560"/>
        <w:jc w:val="both"/>
        <w:rPr>
          <w:kern w:val="2"/>
          <w:sz w:val="28"/>
          <w:highlight w:val="none"/>
        </w:rPr>
      </w:pPr>
      <w:r>
        <w:rPr>
          <w:kern w:val="2"/>
          <w:sz w:val="28"/>
          <w:highlight w:val="none"/>
        </w:rPr>
        <w:t>4.1采购文件获取时间：202</w:t>
      </w:r>
      <w:r>
        <w:rPr>
          <w:rFonts w:hint="eastAsia"/>
          <w:kern w:val="2"/>
          <w:sz w:val="28"/>
          <w:highlight w:val="none"/>
          <w:lang w:val="en-US" w:eastAsia="zh-CN"/>
        </w:rPr>
        <w:t>4</w:t>
      </w:r>
      <w:r>
        <w:rPr>
          <w:kern w:val="2"/>
          <w:sz w:val="28"/>
          <w:highlight w:val="none"/>
        </w:rPr>
        <w:t>年</w:t>
      </w:r>
      <w:r>
        <w:rPr>
          <w:rFonts w:hint="eastAsia"/>
          <w:kern w:val="2"/>
          <w:sz w:val="28"/>
          <w:highlight w:val="none"/>
          <w:lang w:val="en-US" w:eastAsia="zh-CN"/>
        </w:rPr>
        <w:t>8</w:t>
      </w:r>
      <w:r>
        <w:rPr>
          <w:kern w:val="2"/>
          <w:sz w:val="28"/>
          <w:highlight w:val="none"/>
        </w:rPr>
        <w:t>月</w:t>
      </w:r>
      <w:r>
        <w:rPr>
          <w:rFonts w:hint="eastAsia"/>
          <w:kern w:val="2"/>
          <w:sz w:val="28"/>
          <w:highlight w:val="none"/>
          <w:lang w:val="en-US" w:eastAsia="zh-CN"/>
        </w:rPr>
        <w:t>12</w:t>
      </w:r>
      <w:r>
        <w:rPr>
          <w:kern w:val="2"/>
          <w:sz w:val="28"/>
          <w:highlight w:val="none"/>
        </w:rPr>
        <w:t>日至202</w:t>
      </w:r>
      <w:r>
        <w:rPr>
          <w:rFonts w:hint="eastAsia"/>
          <w:kern w:val="2"/>
          <w:sz w:val="28"/>
          <w:highlight w:val="none"/>
          <w:lang w:val="en-US" w:eastAsia="zh-CN"/>
        </w:rPr>
        <w:t>4</w:t>
      </w:r>
      <w:r>
        <w:rPr>
          <w:kern w:val="2"/>
          <w:sz w:val="28"/>
          <w:highlight w:val="none"/>
        </w:rPr>
        <w:t>年</w:t>
      </w:r>
      <w:r>
        <w:rPr>
          <w:rFonts w:hint="eastAsia"/>
          <w:kern w:val="2"/>
          <w:sz w:val="28"/>
          <w:highlight w:val="none"/>
          <w:lang w:val="en-US" w:eastAsia="zh-CN"/>
        </w:rPr>
        <w:t>8月15</w:t>
      </w:r>
      <w:r>
        <w:rPr>
          <w:kern w:val="2"/>
          <w:sz w:val="28"/>
          <w:highlight w:val="none"/>
        </w:rPr>
        <w:t>日24时00分(北京时间，下同)</w:t>
      </w:r>
      <w:r>
        <w:rPr>
          <w:rFonts w:hint="eastAsia"/>
          <w:kern w:val="2"/>
          <w:sz w:val="28"/>
          <w:highlight w:val="none"/>
          <w:lang w:eastAsia="zh-CN"/>
        </w:rPr>
        <w:t>，</w:t>
      </w:r>
      <w:r>
        <w:rPr>
          <w:kern w:val="2"/>
          <w:sz w:val="28"/>
          <w:highlight w:val="none"/>
        </w:rPr>
        <w:t>逾期不予受理；</w:t>
      </w:r>
    </w:p>
    <w:p>
      <w:pPr>
        <w:pStyle w:val="13"/>
        <w:spacing w:beforeAutospacing="0" w:afterAutospacing="0"/>
        <w:ind w:firstLine="560"/>
        <w:jc w:val="both"/>
        <w:rPr>
          <w:kern w:val="2"/>
          <w:sz w:val="28"/>
          <w:highlight w:val="none"/>
        </w:rPr>
      </w:pPr>
      <w:r>
        <w:rPr>
          <w:rFonts w:hint="eastAsia"/>
          <w:kern w:val="2"/>
          <w:sz w:val="28"/>
          <w:highlight w:val="none"/>
        </w:rPr>
        <w:t>4</w:t>
      </w:r>
      <w:r>
        <w:rPr>
          <w:kern w:val="2"/>
          <w:sz w:val="28"/>
          <w:highlight w:val="none"/>
        </w:rPr>
        <w:t>.2意向供应商请于202</w:t>
      </w:r>
      <w:r>
        <w:rPr>
          <w:rFonts w:hint="eastAsia"/>
          <w:kern w:val="2"/>
          <w:sz w:val="28"/>
          <w:highlight w:val="none"/>
          <w:lang w:val="en-US" w:eastAsia="zh-CN"/>
        </w:rPr>
        <w:t>4</w:t>
      </w:r>
      <w:r>
        <w:rPr>
          <w:kern w:val="2"/>
          <w:sz w:val="28"/>
          <w:highlight w:val="none"/>
        </w:rPr>
        <w:t>年</w:t>
      </w:r>
      <w:r>
        <w:rPr>
          <w:rFonts w:hint="eastAsia"/>
          <w:kern w:val="2"/>
          <w:sz w:val="28"/>
          <w:highlight w:val="none"/>
          <w:lang w:val="en-US" w:eastAsia="zh-CN"/>
        </w:rPr>
        <w:t>8</w:t>
      </w:r>
      <w:r>
        <w:rPr>
          <w:kern w:val="2"/>
          <w:sz w:val="28"/>
          <w:highlight w:val="none"/>
        </w:rPr>
        <w:t>月</w:t>
      </w:r>
      <w:r>
        <w:rPr>
          <w:rFonts w:hint="eastAsia"/>
          <w:kern w:val="2"/>
          <w:sz w:val="28"/>
          <w:highlight w:val="none"/>
          <w:lang w:val="en-US" w:eastAsia="zh-CN"/>
        </w:rPr>
        <w:t>12</w:t>
      </w:r>
      <w:r>
        <w:rPr>
          <w:kern w:val="2"/>
          <w:sz w:val="28"/>
          <w:highlight w:val="none"/>
        </w:rPr>
        <w:t>日开始自行在四川蜀道物流集团有限公司官</w:t>
      </w:r>
      <w:r>
        <w:rPr>
          <w:rFonts w:hint="eastAsia"/>
          <w:kern w:val="2"/>
          <w:sz w:val="28"/>
          <w:highlight w:val="none"/>
        </w:rPr>
        <w:t>网</w:t>
      </w:r>
      <w:r>
        <w:rPr>
          <w:kern w:val="2"/>
          <w:sz w:val="28"/>
          <w:highlight w:val="none"/>
        </w:rPr>
        <w:t>（https://www.shudaowl.com/）、蜀物智采平台（https://scjt.tabe.cn/）免费匿名下载</w:t>
      </w:r>
      <w:r>
        <w:rPr>
          <w:rFonts w:hint="eastAsia"/>
          <w:kern w:val="2"/>
          <w:sz w:val="28"/>
          <w:highlight w:val="none"/>
        </w:rPr>
        <w:t>询价</w:t>
      </w:r>
      <w:r>
        <w:rPr>
          <w:kern w:val="2"/>
          <w:sz w:val="28"/>
          <w:highlight w:val="none"/>
        </w:rPr>
        <w:t>文件，采购人不提供其他任何报名和</w:t>
      </w:r>
      <w:r>
        <w:rPr>
          <w:rFonts w:hint="eastAsia"/>
          <w:kern w:val="2"/>
          <w:sz w:val="28"/>
          <w:highlight w:val="none"/>
        </w:rPr>
        <w:t>询价</w:t>
      </w:r>
      <w:r>
        <w:rPr>
          <w:kern w:val="2"/>
          <w:sz w:val="28"/>
          <w:highlight w:val="none"/>
        </w:rPr>
        <w:t>文件获取的方式。询价文件补遗书（如有）由</w:t>
      </w:r>
      <w:r>
        <w:rPr>
          <w:rFonts w:hint="eastAsia"/>
          <w:kern w:val="2"/>
          <w:sz w:val="28"/>
          <w:highlight w:val="none"/>
        </w:rPr>
        <w:t>潜在申请人</w:t>
      </w:r>
      <w:r>
        <w:rPr>
          <w:kern w:val="2"/>
          <w:sz w:val="28"/>
          <w:highlight w:val="none"/>
        </w:rPr>
        <w:t>在四川蜀道物流集团有限公司官网（https://www.shudaowl.com/）、蜀物智采平台（https://scjt.tabe.cn/）上自行查阅和下载。</w:t>
      </w:r>
    </w:p>
    <w:p>
      <w:pPr>
        <w:pStyle w:val="13"/>
        <w:spacing w:beforeAutospacing="0" w:afterAutospacing="0"/>
        <w:ind w:firstLine="560"/>
        <w:jc w:val="both"/>
        <w:rPr>
          <w:kern w:val="2"/>
          <w:sz w:val="28"/>
          <w:highlight w:val="none"/>
        </w:rPr>
      </w:pPr>
      <w:r>
        <w:rPr>
          <w:kern w:val="2"/>
          <w:sz w:val="28"/>
          <w:highlight w:val="none"/>
        </w:rPr>
        <w:t>申请人应在</w:t>
      </w:r>
      <w:r>
        <w:rPr>
          <w:rFonts w:hint="eastAsia"/>
          <w:kern w:val="2"/>
          <w:sz w:val="28"/>
          <w:highlight w:val="none"/>
        </w:rPr>
        <w:t>询价</w:t>
      </w:r>
      <w:r>
        <w:rPr>
          <w:kern w:val="2"/>
          <w:sz w:val="28"/>
          <w:highlight w:val="none"/>
        </w:rPr>
        <w:t>期间适时关注</w:t>
      </w:r>
      <w:r>
        <w:rPr>
          <w:rFonts w:hint="eastAsia"/>
          <w:kern w:val="2"/>
          <w:sz w:val="28"/>
          <w:highlight w:val="none"/>
        </w:rPr>
        <w:t>采购</w:t>
      </w:r>
      <w:r>
        <w:rPr>
          <w:kern w:val="2"/>
          <w:sz w:val="28"/>
          <w:highlight w:val="none"/>
        </w:rPr>
        <w:t>人指定网站，并及时下载相关内容，</w:t>
      </w:r>
      <w:r>
        <w:rPr>
          <w:rFonts w:hint="eastAsia"/>
          <w:kern w:val="2"/>
          <w:sz w:val="28"/>
          <w:highlight w:val="none"/>
        </w:rPr>
        <w:t>采购</w:t>
      </w:r>
      <w:r>
        <w:rPr>
          <w:kern w:val="2"/>
          <w:sz w:val="28"/>
          <w:highlight w:val="none"/>
        </w:rPr>
        <w:t>人不再另行通知。查阅下载过程如有问题或疑问请及时与</w:t>
      </w:r>
      <w:r>
        <w:rPr>
          <w:rFonts w:hint="eastAsia"/>
          <w:kern w:val="2"/>
          <w:sz w:val="28"/>
          <w:highlight w:val="none"/>
        </w:rPr>
        <w:t>采购</w:t>
      </w:r>
      <w:r>
        <w:rPr>
          <w:kern w:val="2"/>
          <w:sz w:val="28"/>
          <w:highlight w:val="none"/>
        </w:rPr>
        <w:t>人联系；逾期未联系的，</w:t>
      </w:r>
      <w:r>
        <w:rPr>
          <w:rFonts w:hint="eastAsia"/>
          <w:kern w:val="2"/>
          <w:sz w:val="28"/>
          <w:highlight w:val="none"/>
        </w:rPr>
        <w:t>采购</w:t>
      </w:r>
      <w:r>
        <w:rPr>
          <w:kern w:val="2"/>
          <w:sz w:val="28"/>
          <w:highlight w:val="none"/>
        </w:rPr>
        <w:t>人视为申请人无任何问题，或是已收到或默认已收到，否则造成的一切后果由申请人自负。申请人在递交报价响应文件之前无需向采购人以任何方式提</w:t>
      </w:r>
      <w:r>
        <w:rPr>
          <w:rFonts w:hint="eastAsia"/>
          <w:kern w:val="2"/>
          <w:sz w:val="28"/>
          <w:highlight w:val="none"/>
        </w:rPr>
        <w:t>供</w:t>
      </w:r>
      <w:r>
        <w:rPr>
          <w:kern w:val="2"/>
          <w:sz w:val="28"/>
          <w:highlight w:val="none"/>
        </w:rPr>
        <w:t>有关采购</w:t>
      </w:r>
      <w:r>
        <w:rPr>
          <w:rFonts w:hint="eastAsia"/>
          <w:kern w:val="2"/>
          <w:sz w:val="28"/>
          <w:highlight w:val="none"/>
        </w:rPr>
        <w:t>申请</w:t>
      </w:r>
      <w:r>
        <w:rPr>
          <w:kern w:val="2"/>
          <w:sz w:val="28"/>
          <w:highlight w:val="none"/>
        </w:rPr>
        <w:t>人的任何信息和联系方式。</w:t>
      </w:r>
    </w:p>
    <w:p>
      <w:pPr>
        <w:pStyle w:val="13"/>
        <w:spacing w:beforeAutospacing="0" w:afterAutospacing="0"/>
        <w:ind w:firstLine="560"/>
        <w:jc w:val="both"/>
        <w:rPr>
          <w:kern w:val="2"/>
          <w:sz w:val="28"/>
          <w:highlight w:val="none"/>
        </w:rPr>
      </w:pPr>
      <w:r>
        <w:rPr>
          <w:kern w:val="2"/>
          <w:sz w:val="28"/>
          <w:highlight w:val="none"/>
        </w:rPr>
        <w:t>4.3采购文件售价：本项目不涉及。</w:t>
      </w:r>
    </w:p>
    <w:p>
      <w:pPr>
        <w:pStyle w:val="2"/>
        <w:keepNext w:val="0"/>
        <w:keepLines w:val="0"/>
        <w:numPr>
          <w:ilvl w:val="0"/>
          <w:numId w:val="1"/>
        </w:numPr>
        <w:ind w:firstLine="560"/>
        <w:rPr>
          <w:rFonts w:ascii="Times New Roman" w:hAnsi="Times New Roman"/>
          <w:highlight w:val="none"/>
        </w:rPr>
      </w:pPr>
      <w:r>
        <w:rPr>
          <w:rFonts w:ascii="Times New Roman" w:hAnsi="Times New Roman"/>
          <w:highlight w:val="none"/>
        </w:rPr>
        <w:t>报价响应文件的内容</w:t>
      </w:r>
    </w:p>
    <w:p>
      <w:pPr>
        <w:ind w:firstLine="560"/>
        <w:rPr>
          <w:sz w:val="28"/>
          <w:highlight w:val="none"/>
        </w:rPr>
      </w:pPr>
      <w:r>
        <w:rPr>
          <w:sz w:val="28"/>
          <w:highlight w:val="none"/>
        </w:rPr>
        <w:t>5.1响应文件格式</w:t>
      </w:r>
    </w:p>
    <w:p>
      <w:pPr>
        <w:ind w:firstLine="560"/>
        <w:rPr>
          <w:sz w:val="28"/>
          <w:highlight w:val="none"/>
        </w:rPr>
      </w:pPr>
      <w:r>
        <w:rPr>
          <w:sz w:val="28"/>
          <w:highlight w:val="none"/>
        </w:rPr>
        <w:t>响应文件为正本1份，副本1份，必须进行密封包装，封口处加贴封条，并在封条与包装面的齐缝处加盖</w:t>
      </w:r>
      <w:r>
        <w:rPr>
          <w:rFonts w:hint="eastAsia"/>
          <w:sz w:val="28"/>
          <w:highlight w:val="none"/>
        </w:rPr>
        <w:t>申请</w:t>
      </w:r>
      <w:r>
        <w:rPr>
          <w:sz w:val="28"/>
          <w:highlight w:val="none"/>
        </w:rPr>
        <w:t>人公司公章。</w:t>
      </w:r>
      <w:r>
        <w:rPr>
          <w:rFonts w:hint="eastAsia"/>
          <w:sz w:val="28"/>
          <w:highlight w:val="none"/>
        </w:rPr>
        <w:t>所有材料复印件应加盖公司公章，并确保复印件内容清晰可见。</w:t>
      </w:r>
    </w:p>
    <w:p>
      <w:pPr>
        <w:ind w:firstLine="560"/>
        <w:rPr>
          <w:sz w:val="28"/>
          <w:highlight w:val="none"/>
        </w:rPr>
      </w:pPr>
      <w:r>
        <w:rPr>
          <w:sz w:val="28"/>
          <w:highlight w:val="none"/>
        </w:rPr>
        <w:t>5.2响应文件内容</w:t>
      </w:r>
      <w:r>
        <w:rPr>
          <w:rFonts w:hint="eastAsia"/>
          <w:sz w:val="28"/>
          <w:highlight w:val="none"/>
        </w:rPr>
        <w:t>（详见附件2）</w:t>
      </w:r>
      <w:r>
        <w:rPr>
          <w:sz w:val="28"/>
          <w:highlight w:val="none"/>
        </w:rPr>
        <w:t>构成：</w:t>
      </w:r>
    </w:p>
    <w:p>
      <w:pPr>
        <w:ind w:firstLine="560"/>
        <w:rPr>
          <w:sz w:val="28"/>
          <w:highlight w:val="none"/>
        </w:rPr>
      </w:pPr>
      <w:r>
        <w:rPr>
          <w:sz w:val="28"/>
          <w:highlight w:val="none"/>
        </w:rPr>
        <w:t>（1）报价函：申请人按本询价公告的要求提出报价（含税），并填写报价明细表。</w:t>
      </w:r>
      <w:r>
        <w:rPr>
          <w:rFonts w:hint="eastAsia"/>
          <w:sz w:val="28"/>
          <w:highlight w:val="none"/>
          <w:lang w:val="en-US" w:eastAsia="zh-CN"/>
        </w:rPr>
        <w:t>单价报价不得高于</w:t>
      </w:r>
      <w:r>
        <w:rPr>
          <w:rFonts w:hint="eastAsia"/>
          <w:sz w:val="28"/>
          <w:highlight w:val="none"/>
        </w:rPr>
        <w:t>最高限价。</w:t>
      </w:r>
    </w:p>
    <w:p>
      <w:pPr>
        <w:ind w:firstLine="560"/>
        <w:rPr>
          <w:sz w:val="28"/>
          <w:highlight w:val="none"/>
        </w:rPr>
      </w:pPr>
      <w:r>
        <w:rPr>
          <w:sz w:val="28"/>
          <w:highlight w:val="none"/>
        </w:rPr>
        <w:t>（2）法定代表人授权委托书</w:t>
      </w:r>
      <w:r>
        <w:rPr>
          <w:rFonts w:hint="eastAsia"/>
          <w:sz w:val="28"/>
          <w:highlight w:val="none"/>
        </w:rPr>
        <w:t>或法定代表人身份证明</w:t>
      </w:r>
      <w:r>
        <w:rPr>
          <w:sz w:val="28"/>
          <w:highlight w:val="none"/>
        </w:rPr>
        <w:t>；</w:t>
      </w:r>
    </w:p>
    <w:p>
      <w:pPr>
        <w:ind w:firstLine="560"/>
        <w:rPr>
          <w:sz w:val="28"/>
          <w:highlight w:val="none"/>
        </w:rPr>
      </w:pPr>
      <w:r>
        <w:rPr>
          <w:sz w:val="28"/>
          <w:highlight w:val="none"/>
        </w:rPr>
        <w:t>（3）资格</w:t>
      </w:r>
      <w:r>
        <w:rPr>
          <w:rFonts w:hint="eastAsia"/>
          <w:sz w:val="28"/>
          <w:highlight w:val="none"/>
        </w:rPr>
        <w:t>审查</w:t>
      </w:r>
      <w:r>
        <w:rPr>
          <w:sz w:val="28"/>
          <w:highlight w:val="none"/>
        </w:rPr>
        <w:t>对应文件（营业执照、公司资质、财务报告、类似业绩、企业信誉查询截图等，复印件加盖公章）；</w:t>
      </w:r>
    </w:p>
    <w:p>
      <w:pPr>
        <w:ind w:firstLine="560"/>
        <w:rPr>
          <w:sz w:val="28"/>
          <w:highlight w:val="none"/>
        </w:rPr>
      </w:pPr>
      <w:r>
        <w:rPr>
          <w:sz w:val="28"/>
          <w:highlight w:val="none"/>
        </w:rPr>
        <w:t>（4）其他能证明公司实力相关文件及说明（复印件加盖公章）。</w:t>
      </w:r>
    </w:p>
    <w:p>
      <w:pPr>
        <w:pStyle w:val="2"/>
        <w:keepNext w:val="0"/>
        <w:keepLines w:val="0"/>
        <w:numPr>
          <w:ilvl w:val="0"/>
          <w:numId w:val="1"/>
        </w:numPr>
        <w:ind w:firstLine="560"/>
        <w:rPr>
          <w:rFonts w:ascii="Times New Roman" w:hAnsi="Times New Roman"/>
          <w:highlight w:val="none"/>
        </w:rPr>
      </w:pPr>
      <w:r>
        <w:rPr>
          <w:rFonts w:ascii="Times New Roman" w:hAnsi="Times New Roman"/>
          <w:highlight w:val="none"/>
        </w:rPr>
        <w:t>报价响应文件的递交</w:t>
      </w:r>
    </w:p>
    <w:p>
      <w:pPr>
        <w:pStyle w:val="13"/>
        <w:spacing w:beforeAutospacing="0" w:afterAutospacing="0"/>
        <w:ind w:firstLine="560"/>
        <w:jc w:val="both"/>
        <w:rPr>
          <w:kern w:val="2"/>
          <w:sz w:val="28"/>
          <w:highlight w:val="none"/>
        </w:rPr>
      </w:pPr>
      <w:r>
        <w:rPr>
          <w:rFonts w:hint="eastAsia"/>
          <w:kern w:val="2"/>
          <w:sz w:val="28"/>
          <w:highlight w:val="none"/>
        </w:rPr>
        <w:t>6</w:t>
      </w:r>
      <w:r>
        <w:rPr>
          <w:kern w:val="2"/>
          <w:sz w:val="28"/>
          <w:highlight w:val="none"/>
        </w:rPr>
        <w:t>.1报价响应文件递交的截止时间为202</w:t>
      </w:r>
      <w:r>
        <w:rPr>
          <w:rFonts w:hint="eastAsia"/>
          <w:kern w:val="2"/>
          <w:sz w:val="28"/>
          <w:highlight w:val="none"/>
          <w:lang w:val="en-US" w:eastAsia="zh-CN"/>
        </w:rPr>
        <w:t>4</w:t>
      </w:r>
      <w:r>
        <w:rPr>
          <w:kern w:val="2"/>
          <w:sz w:val="28"/>
          <w:highlight w:val="none"/>
        </w:rPr>
        <w:t>年</w:t>
      </w:r>
      <w:r>
        <w:rPr>
          <w:rFonts w:hint="eastAsia"/>
          <w:kern w:val="2"/>
          <w:sz w:val="28"/>
          <w:highlight w:val="none"/>
        </w:rPr>
        <w:t xml:space="preserve"> </w:t>
      </w:r>
      <w:r>
        <w:rPr>
          <w:rFonts w:hint="eastAsia"/>
          <w:kern w:val="2"/>
          <w:sz w:val="28"/>
          <w:highlight w:val="none"/>
          <w:lang w:val="en-US" w:eastAsia="zh-CN"/>
        </w:rPr>
        <w:t>8</w:t>
      </w:r>
      <w:r>
        <w:rPr>
          <w:rFonts w:hint="eastAsia"/>
          <w:kern w:val="2"/>
          <w:sz w:val="28"/>
          <w:highlight w:val="none"/>
        </w:rPr>
        <w:t xml:space="preserve"> </w:t>
      </w:r>
      <w:r>
        <w:rPr>
          <w:kern w:val="2"/>
          <w:sz w:val="28"/>
          <w:highlight w:val="none"/>
        </w:rPr>
        <w:t>月</w:t>
      </w:r>
      <w:r>
        <w:rPr>
          <w:rFonts w:hint="eastAsia"/>
          <w:kern w:val="2"/>
          <w:sz w:val="28"/>
          <w:highlight w:val="none"/>
          <w:lang w:val="en-US" w:eastAsia="zh-CN"/>
        </w:rPr>
        <w:t>16</w:t>
      </w:r>
      <w:r>
        <w:rPr>
          <w:kern w:val="2"/>
          <w:sz w:val="28"/>
          <w:highlight w:val="none"/>
        </w:rPr>
        <w:t>日</w:t>
      </w:r>
      <w:r>
        <w:rPr>
          <w:rFonts w:hint="eastAsia"/>
          <w:kern w:val="2"/>
          <w:sz w:val="28"/>
          <w:highlight w:val="none"/>
          <w:lang w:val="en-US" w:eastAsia="zh-CN"/>
        </w:rPr>
        <w:t>9:30</w:t>
      </w:r>
      <w:r>
        <w:rPr>
          <w:kern w:val="2"/>
          <w:sz w:val="28"/>
          <w:highlight w:val="none"/>
        </w:rPr>
        <w:t>（</w:t>
      </w:r>
      <w:r>
        <w:rPr>
          <w:rFonts w:hint="eastAsia"/>
          <w:kern w:val="2"/>
          <w:sz w:val="28"/>
          <w:highlight w:val="none"/>
        </w:rPr>
        <w:t>响应</w:t>
      </w:r>
      <w:r>
        <w:rPr>
          <w:kern w:val="2"/>
          <w:sz w:val="28"/>
          <w:highlight w:val="none"/>
        </w:rPr>
        <w:t>截止时间，下同），采购人定于报价响应文件送交截止时间的同一时间</w:t>
      </w:r>
      <w:r>
        <w:rPr>
          <w:rFonts w:hint="eastAsia"/>
          <w:kern w:val="2"/>
          <w:sz w:val="28"/>
          <w:highlight w:val="none"/>
        </w:rPr>
        <w:t>、</w:t>
      </w:r>
      <w:r>
        <w:rPr>
          <w:kern w:val="2"/>
          <w:sz w:val="28"/>
          <w:highlight w:val="none"/>
        </w:rPr>
        <w:t>现场递交响应文件的地址举行公开开标，申请人应派代表出席并签认开标结果。</w:t>
      </w:r>
    </w:p>
    <w:p>
      <w:pPr>
        <w:pStyle w:val="13"/>
        <w:spacing w:beforeAutospacing="0" w:afterAutospacing="0"/>
        <w:ind w:firstLine="560"/>
        <w:jc w:val="both"/>
        <w:rPr>
          <w:kern w:val="2"/>
          <w:sz w:val="28"/>
          <w:highlight w:val="none"/>
        </w:rPr>
      </w:pPr>
      <w:r>
        <w:rPr>
          <w:rFonts w:hint="eastAsia"/>
          <w:kern w:val="2"/>
          <w:sz w:val="28"/>
          <w:highlight w:val="none"/>
        </w:rPr>
        <w:t>6</w:t>
      </w:r>
      <w:r>
        <w:rPr>
          <w:kern w:val="2"/>
          <w:sz w:val="28"/>
          <w:highlight w:val="none"/>
        </w:rPr>
        <w:t>.</w:t>
      </w:r>
      <w:r>
        <w:rPr>
          <w:rFonts w:hint="eastAsia"/>
          <w:kern w:val="2"/>
          <w:sz w:val="28"/>
          <w:highlight w:val="none"/>
        </w:rPr>
        <w:t>2</w:t>
      </w:r>
      <w:r>
        <w:rPr>
          <w:kern w:val="2"/>
          <w:sz w:val="28"/>
          <w:highlight w:val="none"/>
        </w:rPr>
        <w:t xml:space="preserve"> 申请人应于202</w:t>
      </w:r>
      <w:r>
        <w:rPr>
          <w:rFonts w:hint="eastAsia"/>
          <w:kern w:val="2"/>
          <w:sz w:val="28"/>
          <w:highlight w:val="none"/>
          <w:lang w:val="en-US" w:eastAsia="zh-CN"/>
        </w:rPr>
        <w:t>4</w:t>
      </w:r>
      <w:r>
        <w:rPr>
          <w:kern w:val="2"/>
          <w:sz w:val="28"/>
          <w:highlight w:val="none"/>
        </w:rPr>
        <w:t>年</w:t>
      </w:r>
      <w:r>
        <w:rPr>
          <w:rFonts w:hint="eastAsia"/>
          <w:kern w:val="2"/>
          <w:sz w:val="28"/>
          <w:highlight w:val="none"/>
        </w:rPr>
        <w:t xml:space="preserve"> </w:t>
      </w:r>
      <w:r>
        <w:rPr>
          <w:rFonts w:hint="eastAsia"/>
          <w:kern w:val="2"/>
          <w:sz w:val="28"/>
          <w:highlight w:val="none"/>
          <w:lang w:val="en-US" w:eastAsia="zh-CN"/>
        </w:rPr>
        <w:t>8</w:t>
      </w:r>
      <w:r>
        <w:rPr>
          <w:rFonts w:hint="eastAsia"/>
          <w:kern w:val="2"/>
          <w:sz w:val="28"/>
          <w:highlight w:val="none"/>
        </w:rPr>
        <w:t xml:space="preserve"> </w:t>
      </w:r>
      <w:r>
        <w:rPr>
          <w:kern w:val="2"/>
          <w:sz w:val="28"/>
          <w:highlight w:val="none"/>
        </w:rPr>
        <w:t>月</w:t>
      </w:r>
      <w:r>
        <w:rPr>
          <w:rFonts w:hint="eastAsia"/>
          <w:kern w:val="2"/>
          <w:sz w:val="28"/>
          <w:highlight w:val="none"/>
          <w:lang w:val="en-US" w:eastAsia="zh-CN"/>
        </w:rPr>
        <w:t>16</w:t>
      </w:r>
      <w:r>
        <w:rPr>
          <w:kern w:val="2"/>
          <w:sz w:val="28"/>
          <w:highlight w:val="none"/>
        </w:rPr>
        <w:t>日</w:t>
      </w:r>
      <w:r>
        <w:rPr>
          <w:rFonts w:hint="eastAsia"/>
          <w:kern w:val="2"/>
          <w:sz w:val="28"/>
          <w:highlight w:val="none"/>
          <w:lang w:val="en-US" w:eastAsia="zh-CN"/>
        </w:rPr>
        <w:t>9:00至9:30</w:t>
      </w:r>
      <w:r>
        <w:rPr>
          <w:kern w:val="2"/>
          <w:sz w:val="28"/>
          <w:highlight w:val="none"/>
        </w:rPr>
        <w:t>将响应文件（纸质文件，一正一副）现场递交至四川省成都市青羊区光华北路266号蜀道物流集团8楼会议室，并参与现场开标</w:t>
      </w:r>
      <w:r>
        <w:rPr>
          <w:rFonts w:hint="eastAsia"/>
          <w:kern w:val="2"/>
          <w:sz w:val="28"/>
          <w:highlight w:val="none"/>
        </w:rPr>
        <w:t>；开标完成后，采购人将按评审办法组织评审（详见附件3）</w:t>
      </w:r>
      <w:r>
        <w:rPr>
          <w:kern w:val="2"/>
          <w:sz w:val="28"/>
          <w:highlight w:val="none"/>
        </w:rPr>
        <w:t>。</w:t>
      </w:r>
    </w:p>
    <w:p>
      <w:pPr>
        <w:pStyle w:val="13"/>
        <w:spacing w:beforeAutospacing="0" w:afterAutospacing="0"/>
        <w:ind w:firstLine="560"/>
        <w:jc w:val="both"/>
        <w:rPr>
          <w:kern w:val="2"/>
          <w:sz w:val="28"/>
          <w:highlight w:val="none"/>
        </w:rPr>
      </w:pPr>
      <w:r>
        <w:rPr>
          <w:rFonts w:hint="eastAsia"/>
          <w:kern w:val="2"/>
          <w:sz w:val="28"/>
          <w:highlight w:val="none"/>
        </w:rPr>
        <w:t>6</w:t>
      </w:r>
      <w:r>
        <w:rPr>
          <w:kern w:val="2"/>
          <w:sz w:val="28"/>
          <w:highlight w:val="none"/>
        </w:rPr>
        <w:t>.</w:t>
      </w:r>
      <w:r>
        <w:rPr>
          <w:rFonts w:hint="eastAsia"/>
          <w:kern w:val="2"/>
          <w:sz w:val="28"/>
          <w:highlight w:val="none"/>
        </w:rPr>
        <w:t>3</w:t>
      </w:r>
      <w:r>
        <w:rPr>
          <w:kern w:val="2"/>
          <w:sz w:val="28"/>
          <w:highlight w:val="none"/>
        </w:rPr>
        <w:t xml:space="preserve"> 现场递交的响应文件逾期送达的、未送达指定地点的或不按照标文件要求密封的，采购人予以拒收。</w:t>
      </w:r>
    </w:p>
    <w:p>
      <w:pPr>
        <w:pStyle w:val="2"/>
        <w:keepNext w:val="0"/>
        <w:keepLines w:val="0"/>
        <w:ind w:firstLine="560"/>
        <w:rPr>
          <w:rFonts w:ascii="Times New Roman" w:hAnsi="Times New Roman"/>
          <w:highlight w:val="none"/>
        </w:rPr>
      </w:pPr>
      <w:r>
        <w:rPr>
          <w:rFonts w:hint="eastAsia" w:ascii="Times New Roman" w:hAnsi="Times New Roman"/>
          <w:highlight w:val="none"/>
        </w:rPr>
        <w:t>7</w:t>
      </w:r>
      <w:r>
        <w:rPr>
          <w:rFonts w:ascii="Times New Roman" w:hAnsi="Times New Roman"/>
          <w:highlight w:val="none"/>
        </w:rPr>
        <w:t>.发布公告的媒介</w:t>
      </w:r>
    </w:p>
    <w:p>
      <w:pPr>
        <w:pStyle w:val="13"/>
        <w:spacing w:beforeAutospacing="0" w:afterAutospacing="0"/>
        <w:ind w:firstLine="560"/>
        <w:jc w:val="both"/>
        <w:rPr>
          <w:kern w:val="2"/>
          <w:sz w:val="28"/>
          <w:highlight w:val="none"/>
        </w:rPr>
      </w:pPr>
      <w:r>
        <w:rPr>
          <w:kern w:val="2"/>
          <w:sz w:val="28"/>
          <w:highlight w:val="none"/>
        </w:rPr>
        <w:t>本次询价公告和询价结果在四川蜀道物流集团有限公司官网（https://www.shudaowl.com/）、蜀物智采平台（https://scjt.tabe.cn/）上发布</w:t>
      </w:r>
      <w:r>
        <w:rPr>
          <w:rFonts w:hint="eastAsia"/>
          <w:kern w:val="2"/>
          <w:sz w:val="28"/>
          <w:highlight w:val="none"/>
        </w:rPr>
        <w:t>；公示结束后，采购人将根据询价结果和项目取得情况与中选人签订合同（详见附件4）</w:t>
      </w:r>
      <w:r>
        <w:rPr>
          <w:kern w:val="2"/>
          <w:sz w:val="28"/>
          <w:highlight w:val="none"/>
        </w:rPr>
        <w:t>。</w:t>
      </w:r>
    </w:p>
    <w:p>
      <w:pPr>
        <w:pStyle w:val="2"/>
        <w:keepNext w:val="0"/>
        <w:keepLines w:val="0"/>
        <w:ind w:firstLine="560"/>
        <w:rPr>
          <w:rFonts w:ascii="Times New Roman" w:hAnsi="Times New Roman"/>
          <w:highlight w:val="none"/>
        </w:rPr>
      </w:pPr>
      <w:r>
        <w:rPr>
          <w:rFonts w:hint="eastAsia" w:ascii="Times New Roman" w:hAnsi="Times New Roman"/>
          <w:highlight w:val="none"/>
        </w:rPr>
        <w:t>8</w:t>
      </w:r>
      <w:r>
        <w:rPr>
          <w:rFonts w:ascii="Times New Roman" w:hAnsi="Times New Roman"/>
          <w:highlight w:val="none"/>
        </w:rPr>
        <w:t>.联系方式</w:t>
      </w:r>
    </w:p>
    <w:p>
      <w:pPr>
        <w:pStyle w:val="13"/>
        <w:spacing w:beforeAutospacing="0" w:afterAutospacing="0"/>
        <w:ind w:firstLine="560"/>
        <w:jc w:val="both"/>
        <w:rPr>
          <w:kern w:val="2"/>
          <w:sz w:val="28"/>
          <w:highlight w:val="none"/>
        </w:rPr>
      </w:pPr>
      <w:r>
        <w:rPr>
          <w:rFonts w:hint="eastAsia"/>
          <w:kern w:val="2"/>
          <w:sz w:val="28"/>
          <w:highlight w:val="none"/>
        </w:rPr>
        <w:t>采购</w:t>
      </w:r>
      <w:r>
        <w:rPr>
          <w:kern w:val="2"/>
          <w:sz w:val="28"/>
          <w:highlight w:val="none"/>
        </w:rPr>
        <w:t>人：四川蜀物路面材料有限公司</w:t>
      </w:r>
    </w:p>
    <w:p>
      <w:pPr>
        <w:pStyle w:val="13"/>
        <w:spacing w:beforeAutospacing="0" w:afterAutospacing="0"/>
        <w:ind w:firstLine="560"/>
        <w:jc w:val="both"/>
        <w:rPr>
          <w:kern w:val="2"/>
          <w:sz w:val="28"/>
          <w:highlight w:val="none"/>
        </w:rPr>
      </w:pPr>
      <w:r>
        <w:rPr>
          <w:kern w:val="2"/>
          <w:sz w:val="28"/>
          <w:highlight w:val="none"/>
        </w:rPr>
        <w:t>地    址：成都市青羊区光华北五路266号蜀道物流集团8楼</w:t>
      </w:r>
    </w:p>
    <w:p>
      <w:pPr>
        <w:pStyle w:val="13"/>
        <w:spacing w:beforeAutospacing="0" w:afterAutospacing="0"/>
        <w:ind w:firstLine="560"/>
        <w:jc w:val="both"/>
        <w:rPr>
          <w:kern w:val="2"/>
          <w:sz w:val="28"/>
          <w:highlight w:val="none"/>
        </w:rPr>
      </w:pPr>
      <w:r>
        <w:rPr>
          <w:kern w:val="2"/>
          <w:sz w:val="28"/>
          <w:highlight w:val="none"/>
        </w:rPr>
        <w:t>联系人：冷女士</w:t>
      </w:r>
    </w:p>
    <w:p>
      <w:pPr>
        <w:pStyle w:val="13"/>
        <w:spacing w:beforeAutospacing="0" w:afterAutospacing="0"/>
        <w:ind w:firstLine="560"/>
        <w:jc w:val="both"/>
        <w:rPr>
          <w:kern w:val="2"/>
          <w:sz w:val="28"/>
          <w:highlight w:val="none"/>
        </w:rPr>
      </w:pPr>
      <w:r>
        <w:rPr>
          <w:kern w:val="2"/>
          <w:sz w:val="28"/>
          <w:highlight w:val="none"/>
        </w:rPr>
        <w:t>联系方式：028-87032896</w:t>
      </w:r>
    </w:p>
    <w:p>
      <w:pPr>
        <w:ind w:firstLine="560"/>
        <w:rPr>
          <w:sz w:val="28"/>
          <w:highlight w:val="none"/>
        </w:rPr>
      </w:pPr>
      <w:r>
        <w:rPr>
          <w:sz w:val="28"/>
          <w:highlight w:val="none"/>
        </w:rPr>
        <w:br w:type="page"/>
      </w:r>
    </w:p>
    <w:p>
      <w:pPr>
        <w:ind w:firstLine="0" w:firstLineChars="0"/>
        <w:jc w:val="center"/>
        <w:rPr>
          <w:rFonts w:eastAsia="黑体"/>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ind w:firstLine="0" w:firstLineChars="0"/>
        <w:jc w:val="left"/>
        <w:rPr>
          <w:rFonts w:eastAsia="黑体"/>
          <w:szCs w:val="32"/>
          <w:highlight w:val="none"/>
        </w:rPr>
      </w:pPr>
      <w:r>
        <w:rPr>
          <w:rFonts w:hint="eastAsia" w:eastAsia="黑体"/>
          <w:szCs w:val="32"/>
          <w:highlight w:val="none"/>
        </w:rPr>
        <w:t>附件4：           运输服务质量要求</w:t>
      </w:r>
    </w:p>
    <w:p>
      <w:pPr>
        <w:pStyle w:val="13"/>
        <w:spacing w:beforeAutospacing="0" w:afterAutospacing="0"/>
        <w:ind w:firstLine="560"/>
        <w:rPr>
          <w:kern w:val="2"/>
          <w:sz w:val="28"/>
          <w:highlight w:val="none"/>
        </w:rPr>
      </w:pPr>
      <w:r>
        <w:rPr>
          <w:rFonts w:hint="eastAsia"/>
          <w:kern w:val="2"/>
          <w:sz w:val="28"/>
          <w:highlight w:val="none"/>
        </w:rPr>
        <w:t>为使合同适时、全面地得到履行，承运商在合同的实施过程中应授权或委派常驻现场的运输调度负责人，全权处理实施本合同中的所有事务与对外联系，接受并负责执行采购发出的指示、指令和通知。运输调度负责人应为固定，并提供该负责人在成交通知书发出前在本单位不少于3个月的社会保险缴纳</w:t>
      </w:r>
      <w:r>
        <w:rPr>
          <w:rFonts w:hint="eastAsia"/>
          <w:kern w:val="2"/>
          <w:sz w:val="28"/>
          <w:highlight w:val="none"/>
          <w:lang w:val="en-US" w:eastAsia="zh-CN"/>
        </w:rPr>
        <w:t>证明并征得</w:t>
      </w:r>
      <w:r>
        <w:rPr>
          <w:rFonts w:hint="eastAsia"/>
          <w:kern w:val="2"/>
          <w:sz w:val="28"/>
          <w:highlight w:val="none"/>
        </w:rPr>
        <w:t>采购人的同意。如果采购人认为承运商运输调度负责人不能胜任本项目服务的职责，则采购人有权要求承运商作必要的更换至满意为止。除了提供合同规定的运输货物之外，承运商还应满足以下事宜：</w:t>
      </w:r>
    </w:p>
    <w:p>
      <w:pPr>
        <w:pStyle w:val="13"/>
        <w:spacing w:beforeAutospacing="0" w:afterAutospacing="0"/>
        <w:ind w:firstLine="560"/>
        <w:rPr>
          <w:kern w:val="2"/>
          <w:sz w:val="28"/>
          <w:highlight w:val="none"/>
        </w:rPr>
      </w:pPr>
      <w:r>
        <w:rPr>
          <w:rFonts w:hint="eastAsia"/>
          <w:kern w:val="2"/>
          <w:sz w:val="28"/>
          <w:highlight w:val="none"/>
        </w:rPr>
        <w:t>1.承运商委派的运输调度负责人应保证每天24小时留守或者其手机24小时处于开机状态；接到采购人发出的运输计划后，承运商应在</w:t>
      </w:r>
      <w:r>
        <w:rPr>
          <w:rFonts w:hint="eastAsia"/>
          <w:kern w:val="2"/>
          <w:sz w:val="28"/>
          <w:highlight w:val="none"/>
          <w:lang w:val="en-US" w:eastAsia="zh-CN"/>
        </w:rPr>
        <w:t>5</w:t>
      </w:r>
      <w:r>
        <w:rPr>
          <w:rFonts w:hint="eastAsia"/>
          <w:kern w:val="2"/>
          <w:sz w:val="28"/>
          <w:highlight w:val="none"/>
        </w:rPr>
        <w:t>小时内调度车辆至装货处组织承运；紧急情况下承运商应在</w:t>
      </w:r>
      <w:r>
        <w:rPr>
          <w:rFonts w:hint="eastAsia"/>
          <w:kern w:val="2"/>
          <w:sz w:val="28"/>
          <w:highlight w:val="none"/>
          <w:lang w:val="en-US" w:eastAsia="zh-CN"/>
        </w:rPr>
        <w:t>2</w:t>
      </w:r>
      <w:r>
        <w:rPr>
          <w:rFonts w:hint="eastAsia"/>
          <w:kern w:val="2"/>
          <w:sz w:val="28"/>
          <w:highlight w:val="none"/>
        </w:rPr>
        <w:t>小时内调度车辆至装货处组织承运。</w:t>
      </w:r>
    </w:p>
    <w:p>
      <w:pPr>
        <w:pStyle w:val="13"/>
        <w:spacing w:beforeAutospacing="0" w:afterAutospacing="0"/>
        <w:ind w:firstLine="560"/>
        <w:rPr>
          <w:kern w:val="2"/>
          <w:sz w:val="28"/>
          <w:highlight w:val="none"/>
        </w:rPr>
      </w:pPr>
      <w:r>
        <w:rPr>
          <w:rFonts w:hint="eastAsia"/>
          <w:kern w:val="2"/>
          <w:sz w:val="28"/>
          <w:highlight w:val="none"/>
        </w:rPr>
        <w:t>2.及时向采购通报货物装运及在途情况，按规定通过指定物流运输平台系统进行车辆货物跟踪、管理；</w:t>
      </w:r>
    </w:p>
    <w:p>
      <w:pPr>
        <w:pStyle w:val="13"/>
        <w:spacing w:beforeAutospacing="0" w:afterAutospacing="0"/>
        <w:ind w:firstLine="560"/>
        <w:rPr>
          <w:kern w:val="2"/>
          <w:sz w:val="28"/>
          <w:highlight w:val="none"/>
        </w:rPr>
      </w:pPr>
      <w:r>
        <w:rPr>
          <w:rFonts w:hint="eastAsia"/>
          <w:kern w:val="2"/>
          <w:sz w:val="28"/>
          <w:highlight w:val="none"/>
        </w:rPr>
        <w:t>3.为使采购人完成合同义务，与采购人进行所有合理的合作；</w:t>
      </w:r>
    </w:p>
    <w:p>
      <w:pPr>
        <w:pStyle w:val="13"/>
        <w:spacing w:beforeAutospacing="0" w:afterAutospacing="0"/>
        <w:ind w:firstLine="560"/>
        <w:rPr>
          <w:kern w:val="2"/>
          <w:sz w:val="28"/>
          <w:highlight w:val="none"/>
        </w:rPr>
      </w:pPr>
      <w:r>
        <w:rPr>
          <w:rFonts w:hint="eastAsia"/>
          <w:kern w:val="2"/>
          <w:sz w:val="28"/>
          <w:highlight w:val="none"/>
        </w:rPr>
        <w:t>4.任何品种、批次的货物一经发现因承运商原因造成不符合质量标准，承运商应无条件地承担相关责任。</w:t>
      </w:r>
    </w:p>
    <w:p>
      <w:pPr>
        <w:pStyle w:val="13"/>
        <w:spacing w:beforeAutospacing="0" w:afterAutospacing="0"/>
        <w:ind w:firstLine="560"/>
        <w:rPr>
          <w:kern w:val="2"/>
          <w:sz w:val="28"/>
          <w:highlight w:val="none"/>
        </w:rPr>
      </w:pPr>
      <w:r>
        <w:rPr>
          <w:rFonts w:hint="eastAsia"/>
          <w:kern w:val="2"/>
          <w:sz w:val="28"/>
          <w:highlight w:val="none"/>
        </w:rPr>
        <w:t>5.现场服务的费用包含在合同运输费用中，不单独列支。</w:t>
      </w:r>
    </w:p>
    <w:p>
      <w:pPr>
        <w:pStyle w:val="13"/>
        <w:spacing w:beforeAutospacing="0" w:afterAutospacing="0"/>
        <w:ind w:firstLine="560"/>
        <w:rPr>
          <w:kern w:val="2"/>
          <w:sz w:val="28"/>
          <w:highlight w:val="none"/>
        </w:rPr>
      </w:pPr>
      <w:r>
        <w:rPr>
          <w:rFonts w:hint="eastAsia"/>
          <w:kern w:val="2"/>
          <w:sz w:val="28"/>
          <w:highlight w:val="none"/>
        </w:rPr>
        <w:t>沥青详细的运输要求包括但不限于：</w:t>
      </w:r>
    </w:p>
    <w:p>
      <w:pPr>
        <w:pStyle w:val="13"/>
        <w:spacing w:beforeAutospacing="0" w:afterAutospacing="0"/>
        <w:ind w:firstLine="560"/>
        <w:jc w:val="both"/>
        <w:rPr>
          <w:kern w:val="2"/>
          <w:sz w:val="28"/>
          <w:highlight w:val="none"/>
        </w:rPr>
      </w:pPr>
      <w:r>
        <w:rPr>
          <w:rFonts w:hint="eastAsia"/>
          <w:kern w:val="2"/>
          <w:sz w:val="28"/>
          <w:highlight w:val="none"/>
        </w:rPr>
        <w:t>1.承运商应分别按照合同要求和采购人发出的运输指令将沥青运输交至指定的到货地点。</w:t>
      </w:r>
    </w:p>
    <w:p>
      <w:pPr>
        <w:pStyle w:val="13"/>
        <w:spacing w:beforeAutospacing="0" w:afterAutospacing="0"/>
        <w:ind w:firstLine="560"/>
        <w:jc w:val="both"/>
        <w:rPr>
          <w:kern w:val="2"/>
          <w:sz w:val="28"/>
          <w:highlight w:val="none"/>
        </w:rPr>
      </w:pPr>
      <w:r>
        <w:rPr>
          <w:rFonts w:hint="eastAsia"/>
          <w:kern w:val="2"/>
          <w:sz w:val="28"/>
          <w:highlight w:val="none"/>
        </w:rPr>
        <w:t>2.承运商应充分考虑和了解施工地点的地理位置和运输条件，采用合适有效的运输和货物交付方式，制定保证工程所需物资按时、按量运输到场的具体措施。</w:t>
      </w:r>
    </w:p>
    <w:p>
      <w:pPr>
        <w:pStyle w:val="13"/>
        <w:spacing w:beforeAutospacing="0" w:afterAutospacing="0"/>
        <w:ind w:firstLine="560"/>
        <w:rPr>
          <w:kern w:val="2"/>
          <w:sz w:val="28"/>
          <w:highlight w:val="none"/>
        </w:rPr>
      </w:pPr>
      <w:r>
        <w:rPr>
          <w:rFonts w:hint="eastAsia"/>
          <w:kern w:val="2"/>
          <w:sz w:val="28"/>
          <w:highlight w:val="none"/>
        </w:rPr>
        <w:t>3.承运商应具有足够的运输保障能力和运输组织能力（提供不少于15辆符合项目运输要求的车辆）；</w:t>
      </w:r>
      <w:r>
        <w:rPr>
          <w:rFonts w:hint="eastAsia"/>
          <w:kern w:val="2"/>
          <w:sz w:val="28"/>
          <w:highlight w:val="none"/>
          <w:lang w:eastAsia="zh-CN"/>
        </w:rPr>
        <w:t>申请人</w:t>
      </w:r>
      <w:r>
        <w:rPr>
          <w:rFonts w:hint="eastAsia"/>
          <w:kern w:val="2"/>
          <w:sz w:val="28"/>
          <w:highlight w:val="none"/>
        </w:rPr>
        <w:t>须对投标运杂费进行分析，在运输单价内统筹考虑。</w:t>
      </w:r>
    </w:p>
    <w:p>
      <w:pPr>
        <w:pStyle w:val="13"/>
        <w:spacing w:beforeAutospacing="0" w:afterAutospacing="0"/>
        <w:ind w:firstLine="560"/>
        <w:jc w:val="both"/>
        <w:rPr>
          <w:kern w:val="2"/>
          <w:sz w:val="28"/>
          <w:highlight w:val="none"/>
        </w:rPr>
      </w:pPr>
      <w:r>
        <w:rPr>
          <w:rFonts w:hint="eastAsia"/>
          <w:kern w:val="2"/>
          <w:sz w:val="28"/>
          <w:highlight w:val="none"/>
        </w:rPr>
        <w:t>4.公路运输：①承运人中选后，车辆须安装指定GPS（交通运输部标准的卫星定位装置和使用符合交通运输部标准的卫星定位系统平台），须提供运输车辆年检合格证、车险保单、行车证。</w:t>
      </w:r>
      <w:r>
        <w:rPr>
          <w:rFonts w:hint="eastAsia"/>
          <w:kern w:val="2"/>
          <w:sz w:val="28"/>
          <w:highlight w:val="none"/>
        </w:rPr>
        <w:fldChar w:fldCharType="begin"/>
      </w:r>
      <w:r>
        <w:rPr>
          <w:rFonts w:hint="eastAsia"/>
          <w:kern w:val="2"/>
          <w:sz w:val="28"/>
          <w:highlight w:val="none"/>
        </w:rPr>
        <w:instrText xml:space="preserve">= 2 \* GB3</w:instrText>
      </w:r>
      <w:r>
        <w:rPr>
          <w:rFonts w:hint="eastAsia"/>
          <w:kern w:val="2"/>
          <w:sz w:val="28"/>
          <w:highlight w:val="none"/>
        </w:rPr>
        <w:fldChar w:fldCharType="separate"/>
      </w:r>
      <w:r>
        <w:rPr>
          <w:rFonts w:hint="eastAsia"/>
          <w:kern w:val="2"/>
          <w:sz w:val="28"/>
          <w:highlight w:val="none"/>
        </w:rPr>
        <w:t>②</w:t>
      </w:r>
      <w:r>
        <w:rPr>
          <w:rFonts w:hint="eastAsia"/>
          <w:kern w:val="2"/>
          <w:sz w:val="28"/>
          <w:highlight w:val="none"/>
        </w:rPr>
        <w:fldChar w:fldCharType="end"/>
      </w:r>
      <w:r>
        <w:rPr>
          <w:rFonts w:hint="eastAsia"/>
          <w:kern w:val="2"/>
          <w:sz w:val="28"/>
          <w:highlight w:val="none"/>
        </w:rPr>
        <w:t>承运人中选后，应将所有承运车辆需按采购人要求接入指定的沥青运输监管平台系统，并按系统管理要求使用系统，实时更新运输进度，配合完成平台订单、结算确认（如有）等相关工作。③运输车辆驾驶人员的驾驶证及货运从业资格证在有效期内。</w:t>
      </w:r>
    </w:p>
    <w:p>
      <w:pPr>
        <w:pStyle w:val="13"/>
        <w:spacing w:beforeAutospacing="0" w:afterAutospacing="0"/>
        <w:ind w:firstLine="560"/>
        <w:jc w:val="both"/>
        <w:rPr>
          <w:kern w:val="2"/>
          <w:sz w:val="28"/>
          <w:highlight w:val="none"/>
        </w:rPr>
      </w:pPr>
      <w:r>
        <w:rPr>
          <w:rFonts w:hint="eastAsia"/>
          <w:kern w:val="2"/>
          <w:sz w:val="28"/>
          <w:highlight w:val="none"/>
        </w:rPr>
        <w:t>5.在签订合同时，中标人应提供满足采购人需要的初步拟用运输车辆、驾驶人员的上述证照、证明复印件、以及车辆接入沥青监管平台的相关佐证材料。</w:t>
      </w:r>
    </w:p>
    <w:p>
      <w:pPr>
        <w:pStyle w:val="13"/>
        <w:spacing w:beforeAutospacing="0" w:afterAutospacing="0"/>
        <w:ind w:firstLine="560"/>
        <w:jc w:val="both"/>
        <w:rPr>
          <w:rFonts w:hint="eastAsia"/>
          <w:kern w:val="2"/>
          <w:sz w:val="28"/>
          <w:highlight w:val="none"/>
        </w:rPr>
      </w:pPr>
      <w:r>
        <w:rPr>
          <w:rFonts w:hint="eastAsia"/>
          <w:kern w:val="2"/>
          <w:sz w:val="28"/>
          <w:highlight w:val="none"/>
        </w:rPr>
        <w:t>6.</w:t>
      </w:r>
      <w:r>
        <w:rPr>
          <w:rFonts w:hint="eastAsia"/>
          <w:kern w:val="2"/>
          <w:sz w:val="28"/>
          <w:highlight w:val="none"/>
          <w:lang w:eastAsia="zh-CN"/>
        </w:rPr>
        <w:t>申请人</w:t>
      </w:r>
      <w:r>
        <w:rPr>
          <w:rFonts w:hint="eastAsia"/>
          <w:kern w:val="2"/>
          <w:sz w:val="28"/>
          <w:highlight w:val="none"/>
        </w:rPr>
        <w:t>应实地考察运输线路上的相关影响投标报价的因素，在报价中充分考虑，采购不再对此进行附加的报价变更。</w:t>
      </w:r>
    </w:p>
    <w:p>
      <w:pPr>
        <w:pStyle w:val="13"/>
        <w:spacing w:beforeAutospacing="0" w:afterAutospacing="0"/>
        <w:ind w:firstLine="560"/>
        <w:jc w:val="both"/>
        <w:rPr>
          <w:rFonts w:hint="default" w:eastAsia="仿宋_GB2312"/>
          <w:kern w:val="2"/>
          <w:sz w:val="28"/>
          <w:highlight w:val="none"/>
          <w:lang w:val="en-US" w:eastAsia="zh-CN"/>
        </w:rPr>
      </w:pPr>
      <w:r>
        <w:rPr>
          <w:rFonts w:hint="eastAsia"/>
          <w:kern w:val="2"/>
          <w:sz w:val="28"/>
          <w:highlight w:val="none"/>
          <w:lang w:val="en-US" w:eastAsia="zh-CN"/>
        </w:rPr>
        <w:t>7.其他补充事项：中选供应商为采购人新增合作供应商的</w:t>
      </w:r>
      <w:r>
        <w:rPr>
          <w:rFonts w:hint="eastAsia"/>
          <w:kern w:val="2"/>
          <w:sz w:val="28"/>
          <w:highlight w:val="none"/>
          <w:lang w:eastAsia="zh-CN"/>
        </w:rPr>
        <w:t>，</w:t>
      </w:r>
      <w:r>
        <w:rPr>
          <w:rFonts w:hint="eastAsia"/>
          <w:kern w:val="2"/>
          <w:sz w:val="28"/>
          <w:highlight w:val="none"/>
        </w:rPr>
        <w:t>合同签订前</w:t>
      </w:r>
      <w:r>
        <w:rPr>
          <w:rFonts w:hint="eastAsia"/>
          <w:kern w:val="2"/>
          <w:sz w:val="28"/>
          <w:highlight w:val="none"/>
          <w:lang w:val="en-US" w:eastAsia="zh-CN"/>
        </w:rPr>
        <w:t>须</w:t>
      </w:r>
      <w:r>
        <w:rPr>
          <w:rFonts w:hint="eastAsia"/>
          <w:kern w:val="2"/>
          <w:sz w:val="28"/>
          <w:highlight w:val="none"/>
        </w:rPr>
        <w:t>按</w:t>
      </w:r>
      <w:r>
        <w:rPr>
          <w:rFonts w:hint="eastAsia"/>
          <w:kern w:val="2"/>
          <w:sz w:val="28"/>
          <w:highlight w:val="none"/>
          <w:lang w:val="en-US" w:eastAsia="zh-CN"/>
        </w:rPr>
        <w:t>以银行转账方式</w:t>
      </w:r>
      <w:r>
        <w:rPr>
          <w:rFonts w:hint="eastAsia"/>
          <w:kern w:val="2"/>
          <w:sz w:val="28"/>
          <w:highlight w:val="none"/>
        </w:rPr>
        <w:t>缴纳本项目履约保证金20万元</w:t>
      </w:r>
      <w:r>
        <w:rPr>
          <w:rFonts w:hint="eastAsia"/>
          <w:kern w:val="2"/>
          <w:sz w:val="28"/>
          <w:highlight w:val="none"/>
          <w:lang w:eastAsia="zh-CN"/>
        </w:rPr>
        <w:t>。</w:t>
      </w:r>
      <w:r>
        <w:rPr>
          <w:rFonts w:hint="eastAsia"/>
          <w:kern w:val="2"/>
          <w:sz w:val="28"/>
          <w:highlight w:val="none"/>
          <w:lang w:val="en-US" w:eastAsia="zh-CN"/>
        </w:rPr>
        <w:t>中选供应商为采购人合作中供应商的，不再重复缴纳项目履约保证金。</w:t>
      </w:r>
    </w:p>
    <w:p>
      <w:pPr>
        <w:pStyle w:val="12"/>
        <w:ind w:firstLine="0" w:firstLineChars="0"/>
        <w:rPr>
          <w:rFonts w:ascii="仿宋_GB2312" w:hAnsi="仿宋_GB2312" w:eastAsia="仿宋_GB2312" w:cs="仿宋_GB2312"/>
          <w:kern w:val="0"/>
          <w:sz w:val="24"/>
          <w:szCs w:val="24"/>
          <w:highlight w:val="none"/>
          <w:lang w:val="en-US"/>
        </w:rPr>
      </w:pPr>
    </w:p>
    <w:p>
      <w:pPr>
        <w:ind w:firstLine="0" w:firstLineChars="0"/>
        <w:jc w:val="left"/>
        <w:rPr>
          <w:rFonts w:ascii="黑体" w:hAnsi="黑体" w:eastAsia="黑体" w:cs="黑体"/>
          <w:szCs w:val="32"/>
          <w:highlight w:val="none"/>
        </w:rPr>
      </w:pPr>
      <w:r>
        <w:rPr>
          <w:rFonts w:hint="eastAsia" w:ascii="黑体" w:hAnsi="黑体" w:eastAsia="黑体" w:cs="黑体"/>
          <w:szCs w:val="32"/>
          <w:highlight w:val="none"/>
        </w:rPr>
        <w:br w:type="page"/>
      </w:r>
    </w:p>
    <w:p>
      <w:pPr>
        <w:ind w:firstLine="0" w:firstLineChars="0"/>
        <w:jc w:val="left"/>
        <w:rPr>
          <w:rFonts w:ascii="黑体" w:hAnsi="黑体" w:eastAsia="黑体" w:cs="黑体"/>
          <w:szCs w:val="32"/>
          <w:highlight w:val="none"/>
        </w:rPr>
      </w:pPr>
      <w:r>
        <w:rPr>
          <w:rFonts w:hint="eastAsia" w:ascii="黑体" w:hAnsi="黑体" w:eastAsia="黑体" w:cs="黑体"/>
          <w:szCs w:val="32"/>
          <w:highlight w:val="none"/>
        </w:rPr>
        <w:t>附件2</w:t>
      </w:r>
    </w:p>
    <w:p>
      <w:pPr>
        <w:ind w:firstLine="0" w:firstLineChars="0"/>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四川蜀物路面材料有限公司</w:t>
      </w:r>
    </w:p>
    <w:p>
      <w:pPr>
        <w:spacing w:line="600" w:lineRule="exact"/>
        <w:ind w:right="160" w:rightChars="50" w:firstLine="0" w:firstLineChars="0"/>
        <w:jc w:val="center"/>
        <w:rPr>
          <w:rFonts w:ascii="方正小标宋简体" w:hAnsi="黑体" w:eastAsia="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G664线稻城县香格里拉至各卡（川滇界）段改造工程</w:t>
      </w:r>
      <w:r>
        <w:rPr>
          <w:rFonts w:hint="eastAsia" w:ascii="方正小标宋简体" w:hAnsi="方正小标宋简体" w:eastAsia="方正小标宋简体" w:cs="方正小标宋简体"/>
          <w:sz w:val="44"/>
          <w:szCs w:val="44"/>
          <w:highlight w:val="none"/>
        </w:rPr>
        <w:t>沥青材料公路运输</w:t>
      </w:r>
    </w:p>
    <w:p>
      <w:pPr>
        <w:spacing w:line="276" w:lineRule="auto"/>
        <w:ind w:right="160" w:rightChars="50" w:firstLine="0" w:firstLineChars="0"/>
        <w:jc w:val="center"/>
        <w:rPr>
          <w:rFonts w:ascii="仿宋_GB2312" w:hAnsi="宋体"/>
          <w:b/>
          <w:sz w:val="28"/>
          <w:szCs w:val="28"/>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仿宋_GB2312" w:hAnsi="微软雅黑"/>
          <w:bCs/>
          <w:spacing w:val="-4"/>
          <w:sz w:val="24"/>
          <w:highlight w:val="none"/>
        </w:rPr>
      </w:pPr>
    </w:p>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响</w:t>
      </w:r>
    </w:p>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应</w:t>
      </w:r>
    </w:p>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文</w:t>
      </w:r>
    </w:p>
    <w:p>
      <w:pPr>
        <w:spacing w:line="276" w:lineRule="auto"/>
        <w:ind w:right="160" w:rightChars="50" w:firstLine="0" w:firstLineChars="0"/>
        <w:jc w:val="center"/>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件</w:t>
      </w:r>
    </w:p>
    <w:p>
      <w:pPr>
        <w:adjustRightInd w:val="0"/>
        <w:snapToGrid w:val="0"/>
        <w:spacing w:line="276" w:lineRule="auto"/>
        <w:ind w:right="160" w:rightChars="50" w:firstLine="482"/>
        <w:jc w:val="center"/>
        <w:rPr>
          <w:rFonts w:ascii="仿宋_GB2312" w:hAnsi="宋体"/>
          <w:b/>
          <w:sz w:val="24"/>
          <w:highlight w:val="none"/>
        </w:rPr>
      </w:pPr>
    </w:p>
    <w:p>
      <w:pPr>
        <w:adjustRightInd w:val="0"/>
        <w:snapToGrid w:val="0"/>
        <w:spacing w:line="276" w:lineRule="auto"/>
        <w:ind w:right="160" w:rightChars="50" w:firstLine="562"/>
        <w:jc w:val="center"/>
        <w:rPr>
          <w:rFonts w:ascii="仿宋_GB2312" w:hAnsi="宋体"/>
          <w:b/>
          <w:sz w:val="28"/>
          <w:szCs w:val="28"/>
          <w:highlight w:val="none"/>
        </w:rPr>
      </w:pPr>
    </w:p>
    <w:p>
      <w:pPr>
        <w:adjustRightInd w:val="0"/>
        <w:snapToGrid w:val="0"/>
        <w:spacing w:line="276" w:lineRule="auto"/>
        <w:ind w:right="160" w:rightChars="50" w:firstLine="562"/>
        <w:jc w:val="center"/>
        <w:rPr>
          <w:rFonts w:ascii="仿宋_GB2312" w:hAnsi="宋体"/>
          <w:b/>
          <w:sz w:val="28"/>
          <w:szCs w:val="28"/>
          <w:highlight w:val="none"/>
        </w:rPr>
      </w:pPr>
    </w:p>
    <w:p>
      <w:pPr>
        <w:adjustRightInd w:val="0"/>
        <w:snapToGrid w:val="0"/>
        <w:spacing w:line="276" w:lineRule="auto"/>
        <w:ind w:right="160" w:rightChars="50" w:firstLine="480"/>
        <w:rPr>
          <w:rFonts w:ascii="仿宋_GB2312" w:hAnsi="宋体"/>
          <w:sz w:val="24"/>
          <w:highlight w:val="none"/>
        </w:rPr>
      </w:pPr>
    </w:p>
    <w:p>
      <w:pPr>
        <w:adjustRightInd w:val="0"/>
        <w:snapToGrid w:val="0"/>
        <w:spacing w:line="600" w:lineRule="exact"/>
        <w:ind w:right="160" w:rightChars="50" w:firstLine="2880" w:firstLineChars="900"/>
        <w:rPr>
          <w:rFonts w:ascii="方正小标宋简体" w:hAnsi="宋体" w:eastAsia="方正小标宋简体"/>
          <w:szCs w:val="32"/>
          <w:highlight w:val="none"/>
        </w:rPr>
      </w:pPr>
      <w:r>
        <w:rPr>
          <w:rFonts w:hint="eastAsia" w:ascii="方正小标宋简体" w:hAnsi="宋体" w:eastAsia="方正小标宋简体"/>
          <w:szCs w:val="32"/>
          <w:highlight w:val="none"/>
        </w:rPr>
        <w:t xml:space="preserve">申请人：           </w:t>
      </w:r>
    </w:p>
    <w:p>
      <w:pPr>
        <w:adjustRightInd w:val="0"/>
        <w:snapToGrid w:val="0"/>
        <w:spacing w:line="600" w:lineRule="exact"/>
        <w:ind w:right="160" w:rightChars="50" w:firstLine="2240" w:firstLineChars="700"/>
        <w:rPr>
          <w:rFonts w:ascii="方正小标宋简体" w:hAnsi="宋体" w:eastAsia="方正小标宋简体"/>
          <w:szCs w:val="32"/>
          <w:highlight w:val="none"/>
        </w:rPr>
      </w:pPr>
      <w:r>
        <w:rPr>
          <w:rFonts w:hint="eastAsia" w:ascii="方正小标宋简体" w:hAnsi="宋体" w:eastAsia="方正小标宋简体"/>
          <w:szCs w:val="32"/>
          <w:highlight w:val="none"/>
        </w:rPr>
        <w:t>日期：      年    月      日</w:t>
      </w:r>
    </w:p>
    <w:p>
      <w:pPr>
        <w:widowControl/>
        <w:spacing w:line="360" w:lineRule="auto"/>
        <w:ind w:firstLine="562"/>
        <w:jc w:val="left"/>
        <w:rPr>
          <w:rFonts w:ascii="仿宋_GB2312" w:hAnsi="宋体"/>
          <w:b/>
          <w:kern w:val="0"/>
          <w:sz w:val="28"/>
          <w:szCs w:val="28"/>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start="0"/>
          <w:cols w:space="720" w:num="1"/>
        </w:sectPr>
      </w:pPr>
    </w:p>
    <w:p>
      <w:pPr>
        <w:ind w:firstLine="0" w:firstLineChars="0"/>
        <w:jc w:val="center"/>
        <w:rPr>
          <w:rFonts w:eastAsia="黑体"/>
          <w:szCs w:val="32"/>
          <w:highlight w:val="none"/>
        </w:rPr>
      </w:pPr>
      <w:r>
        <w:rPr>
          <w:rFonts w:hint="eastAsia" w:eastAsia="黑体"/>
          <w:szCs w:val="32"/>
          <w:highlight w:val="none"/>
        </w:rPr>
        <w:t>一、报价</w:t>
      </w:r>
      <w:r>
        <w:rPr>
          <w:rFonts w:eastAsia="黑体"/>
          <w:szCs w:val="32"/>
          <w:highlight w:val="none"/>
        </w:rPr>
        <w:t>函</w:t>
      </w:r>
    </w:p>
    <w:p>
      <w:pPr>
        <w:pStyle w:val="13"/>
        <w:spacing w:beforeAutospacing="0" w:afterAutospacing="0"/>
        <w:ind w:firstLine="0" w:firstLineChars="0"/>
        <w:jc w:val="both"/>
        <w:rPr>
          <w:kern w:val="2"/>
          <w:sz w:val="28"/>
          <w:highlight w:val="none"/>
        </w:rPr>
      </w:pPr>
      <w:r>
        <w:rPr>
          <w:kern w:val="2"/>
          <w:sz w:val="28"/>
          <w:highlight w:val="none"/>
        </w:rPr>
        <w:t>四川蜀物路面材料有限公司：</w:t>
      </w:r>
    </w:p>
    <w:p>
      <w:pPr>
        <w:pStyle w:val="13"/>
        <w:spacing w:beforeAutospacing="0" w:afterAutospacing="0"/>
        <w:ind w:firstLine="560"/>
        <w:rPr>
          <w:kern w:val="2"/>
          <w:sz w:val="28"/>
          <w:highlight w:val="none"/>
        </w:rPr>
      </w:pPr>
      <w:r>
        <w:rPr>
          <w:kern w:val="2"/>
          <w:sz w:val="28"/>
          <w:highlight w:val="none"/>
        </w:rPr>
        <w:t>我方全面研究了</w:t>
      </w:r>
      <w:r>
        <w:rPr>
          <w:kern w:val="2"/>
          <w:sz w:val="28"/>
          <w:highlight w:val="none"/>
          <w:u w:val="single"/>
        </w:rPr>
        <w:t>“</w:t>
      </w:r>
      <w:r>
        <w:rPr>
          <w:rFonts w:hint="eastAsia"/>
          <w:kern w:val="2"/>
          <w:sz w:val="28"/>
          <w:highlight w:val="none"/>
          <w:u w:val="single"/>
          <w:lang w:eastAsia="zh-CN"/>
        </w:rPr>
        <w:t>G664线稻城县香格里拉至各卡（川滇界）段改造工程</w:t>
      </w:r>
      <w:r>
        <w:rPr>
          <w:rFonts w:hint="eastAsia"/>
          <w:kern w:val="2"/>
          <w:sz w:val="28"/>
          <w:highlight w:val="none"/>
          <w:u w:val="single"/>
        </w:rPr>
        <w:t>沥青材料</w:t>
      </w:r>
      <w:r>
        <w:rPr>
          <w:kern w:val="2"/>
          <w:sz w:val="28"/>
          <w:highlight w:val="none"/>
          <w:u w:val="single"/>
        </w:rPr>
        <w:t>公路运输”</w:t>
      </w:r>
      <w:r>
        <w:rPr>
          <w:rFonts w:hint="eastAsia"/>
          <w:kern w:val="2"/>
          <w:sz w:val="28"/>
          <w:highlight w:val="none"/>
        </w:rPr>
        <w:t>询价</w:t>
      </w:r>
      <w:r>
        <w:rPr>
          <w:kern w:val="2"/>
          <w:sz w:val="28"/>
          <w:highlight w:val="none"/>
        </w:rPr>
        <w:t>文件（含所有补遗书），决定参加贵单位组织的本项目</w:t>
      </w:r>
      <w:r>
        <w:rPr>
          <w:rFonts w:hint="eastAsia"/>
          <w:kern w:val="2"/>
          <w:sz w:val="28"/>
          <w:highlight w:val="none"/>
        </w:rPr>
        <w:t>询价工作。我方</w:t>
      </w:r>
      <w:r>
        <w:rPr>
          <w:kern w:val="2"/>
          <w:sz w:val="28"/>
          <w:highlight w:val="none"/>
        </w:rPr>
        <w:t>愿意</w:t>
      </w:r>
      <w:r>
        <w:rPr>
          <w:rFonts w:hint="eastAsia"/>
          <w:kern w:val="2"/>
          <w:sz w:val="28"/>
          <w:highlight w:val="none"/>
        </w:rPr>
        <w:t>以</w:t>
      </w:r>
      <w:r>
        <w:rPr>
          <w:rFonts w:hint="eastAsia"/>
          <w:kern w:val="2"/>
          <w:sz w:val="28"/>
          <w:highlight w:val="none"/>
          <w:u w:val="single"/>
        </w:rPr>
        <w:t xml:space="preserve">          元/吨</w:t>
      </w:r>
      <w:r>
        <w:rPr>
          <w:rFonts w:hint="eastAsia"/>
          <w:kern w:val="2"/>
          <w:sz w:val="28"/>
          <w:highlight w:val="none"/>
          <w:u w:val="single"/>
          <w:lang w:val="en-US" w:eastAsia="zh-CN"/>
        </w:rPr>
        <w:t>公里</w:t>
      </w:r>
      <w:r>
        <w:rPr>
          <w:kern w:val="2"/>
          <w:sz w:val="28"/>
          <w:highlight w:val="none"/>
          <w:u w:val="single"/>
        </w:rPr>
        <w:t>(含9%增值税)</w:t>
      </w:r>
      <w:r>
        <w:rPr>
          <w:rFonts w:hint="eastAsia"/>
          <w:kern w:val="2"/>
          <w:sz w:val="28"/>
          <w:highlight w:val="none"/>
        </w:rPr>
        <w:t>的响应报价</w:t>
      </w:r>
      <w:r>
        <w:rPr>
          <w:rFonts w:hint="eastAsia"/>
          <w:kern w:val="2"/>
          <w:sz w:val="28"/>
          <w:highlight w:val="none"/>
          <w:lang w:val="en-US" w:eastAsia="zh-CN"/>
        </w:rPr>
        <w:t>承担云南省昆明市安宁市指定沥青库区至G664线稻城县香格里拉至各卡（川滇界）段改造工程指定项目施工点的沥青材料运输工作</w:t>
      </w:r>
      <w:r>
        <w:rPr>
          <w:rFonts w:hint="eastAsia"/>
          <w:kern w:val="2"/>
          <w:sz w:val="28"/>
          <w:highlight w:val="none"/>
        </w:rPr>
        <w:t>（报价明细表详见后附表），并按</w:t>
      </w:r>
      <w:r>
        <w:rPr>
          <w:rFonts w:hint="eastAsia"/>
          <w:kern w:val="2"/>
          <w:sz w:val="28"/>
          <w:highlight w:val="none"/>
          <w:lang w:val="en-US" w:eastAsia="zh-CN"/>
        </w:rPr>
        <w:t>询价文件和合同约定</w:t>
      </w:r>
      <w:r>
        <w:rPr>
          <w:rFonts w:hint="eastAsia"/>
          <w:kern w:val="2"/>
          <w:sz w:val="28"/>
          <w:highlight w:val="none"/>
        </w:rPr>
        <w:t>要求</w:t>
      </w:r>
      <w:r>
        <w:rPr>
          <w:rFonts w:hint="eastAsia"/>
          <w:kern w:val="2"/>
          <w:sz w:val="28"/>
          <w:highlight w:val="none"/>
          <w:lang w:val="en-US" w:eastAsia="zh-CN"/>
        </w:rPr>
        <w:t>提供</w:t>
      </w:r>
      <w:r>
        <w:rPr>
          <w:rFonts w:hint="eastAsia"/>
          <w:kern w:val="2"/>
          <w:sz w:val="28"/>
          <w:highlight w:val="none"/>
        </w:rPr>
        <w:t>沥青材料公路运输</w:t>
      </w:r>
      <w:r>
        <w:rPr>
          <w:rFonts w:hint="eastAsia"/>
          <w:kern w:val="2"/>
          <w:sz w:val="28"/>
          <w:highlight w:val="none"/>
          <w:lang w:val="en-US" w:eastAsia="zh-CN"/>
        </w:rPr>
        <w:t>过程服务</w:t>
      </w:r>
      <w:r>
        <w:rPr>
          <w:rFonts w:hint="eastAsia"/>
          <w:kern w:val="2"/>
          <w:sz w:val="28"/>
          <w:highlight w:val="none"/>
        </w:rPr>
        <w:t>工作。</w:t>
      </w:r>
    </w:p>
    <w:p>
      <w:pPr>
        <w:pStyle w:val="13"/>
        <w:spacing w:beforeAutospacing="0" w:afterAutospacing="0"/>
        <w:ind w:firstLine="560"/>
        <w:jc w:val="both"/>
        <w:rPr>
          <w:kern w:val="2"/>
          <w:sz w:val="28"/>
          <w:highlight w:val="none"/>
        </w:rPr>
      </w:pPr>
      <w:r>
        <w:rPr>
          <w:rFonts w:hint="eastAsia"/>
          <w:kern w:val="2"/>
          <w:sz w:val="28"/>
          <w:highlight w:val="none"/>
        </w:rPr>
        <w:t>1.</w:t>
      </w:r>
      <w:r>
        <w:rPr>
          <w:kern w:val="2"/>
          <w:sz w:val="28"/>
          <w:highlight w:val="none"/>
        </w:rPr>
        <w:t>运输服务期以</w:t>
      </w:r>
      <w:r>
        <w:rPr>
          <w:rFonts w:hint="eastAsia"/>
          <w:kern w:val="2"/>
          <w:sz w:val="28"/>
          <w:highlight w:val="none"/>
        </w:rPr>
        <w:t>贵方</w:t>
      </w:r>
      <w:r>
        <w:rPr>
          <w:kern w:val="2"/>
          <w:sz w:val="28"/>
          <w:highlight w:val="none"/>
        </w:rPr>
        <w:t>要求为准，</w:t>
      </w:r>
      <w:r>
        <w:rPr>
          <w:rFonts w:hint="eastAsia"/>
          <w:kern w:val="2"/>
          <w:sz w:val="28"/>
          <w:highlight w:val="none"/>
        </w:rPr>
        <w:t>我方</w:t>
      </w:r>
      <w:r>
        <w:rPr>
          <w:kern w:val="2"/>
          <w:sz w:val="28"/>
          <w:highlight w:val="none"/>
        </w:rPr>
        <w:t>按照</w:t>
      </w:r>
      <w:r>
        <w:rPr>
          <w:rFonts w:hint="eastAsia"/>
          <w:kern w:val="2"/>
          <w:sz w:val="28"/>
          <w:highlight w:val="none"/>
        </w:rPr>
        <w:t>询价</w:t>
      </w:r>
      <w:r>
        <w:rPr>
          <w:kern w:val="2"/>
          <w:sz w:val="28"/>
          <w:highlight w:val="none"/>
        </w:rPr>
        <w:t>文件规定的各项要求向</w:t>
      </w:r>
      <w:r>
        <w:rPr>
          <w:rFonts w:hint="eastAsia"/>
          <w:kern w:val="2"/>
          <w:sz w:val="28"/>
          <w:highlight w:val="none"/>
        </w:rPr>
        <w:t>采购</w:t>
      </w:r>
      <w:r>
        <w:rPr>
          <w:kern w:val="2"/>
          <w:sz w:val="28"/>
          <w:highlight w:val="none"/>
        </w:rPr>
        <w:t>人提供所需材料运输服务</w:t>
      </w:r>
      <w:r>
        <w:rPr>
          <w:rFonts w:hint="eastAsia"/>
          <w:kern w:val="2"/>
          <w:sz w:val="28"/>
          <w:highlight w:val="none"/>
        </w:rPr>
        <w:t>，服务质量满足贵公司询价公告附件</w:t>
      </w:r>
      <w:r>
        <w:rPr>
          <w:rFonts w:hint="eastAsia"/>
          <w:kern w:val="2"/>
          <w:sz w:val="28"/>
          <w:highlight w:val="none"/>
          <w:lang w:val="en-US" w:eastAsia="zh-CN"/>
        </w:rPr>
        <w:t>1</w:t>
      </w:r>
      <w:r>
        <w:rPr>
          <w:rFonts w:hint="eastAsia"/>
          <w:kern w:val="2"/>
          <w:sz w:val="28"/>
          <w:highlight w:val="none"/>
        </w:rPr>
        <w:t>要求；若合同期内本项目新增询价范围外的运输路线，我方承诺将积极配合贵方运输需求，协商谈判确定运输价格，在保留合理利润的前提下给予贵公司充分优惠，原则上新增路线运输单价不高于本次中标价。</w:t>
      </w:r>
    </w:p>
    <w:p>
      <w:pPr>
        <w:pStyle w:val="13"/>
        <w:spacing w:beforeAutospacing="0" w:afterAutospacing="0"/>
        <w:ind w:firstLine="560"/>
        <w:jc w:val="both"/>
        <w:rPr>
          <w:kern w:val="2"/>
          <w:sz w:val="28"/>
          <w:highlight w:val="none"/>
        </w:rPr>
      </w:pPr>
      <w:r>
        <w:rPr>
          <w:rFonts w:hint="eastAsia"/>
          <w:kern w:val="2"/>
          <w:sz w:val="28"/>
          <w:highlight w:val="none"/>
        </w:rPr>
        <w:t>2.</w:t>
      </w:r>
      <w:r>
        <w:rPr>
          <w:kern w:val="2"/>
          <w:sz w:val="28"/>
          <w:highlight w:val="none"/>
        </w:rPr>
        <w:t>我方承诺在</w:t>
      </w:r>
      <w:r>
        <w:rPr>
          <w:rFonts w:hint="eastAsia"/>
          <w:kern w:val="2"/>
          <w:sz w:val="28"/>
          <w:highlight w:val="none"/>
        </w:rPr>
        <w:t>询价</w:t>
      </w:r>
      <w:r>
        <w:rPr>
          <w:kern w:val="2"/>
          <w:sz w:val="28"/>
          <w:highlight w:val="none"/>
        </w:rPr>
        <w:t>有效期</w:t>
      </w:r>
      <w:r>
        <w:rPr>
          <w:rFonts w:hint="eastAsia"/>
          <w:kern w:val="2"/>
          <w:sz w:val="28"/>
          <w:highlight w:val="none"/>
        </w:rPr>
        <w:t>（90天）</w:t>
      </w:r>
      <w:r>
        <w:rPr>
          <w:kern w:val="2"/>
          <w:sz w:val="28"/>
          <w:highlight w:val="none"/>
        </w:rPr>
        <w:t>内不修改、撤销</w:t>
      </w:r>
      <w:r>
        <w:rPr>
          <w:rFonts w:hint="eastAsia"/>
          <w:kern w:val="2"/>
          <w:sz w:val="28"/>
          <w:highlight w:val="none"/>
        </w:rPr>
        <w:t>响应</w:t>
      </w:r>
      <w:r>
        <w:rPr>
          <w:kern w:val="2"/>
          <w:sz w:val="28"/>
          <w:highlight w:val="none"/>
        </w:rPr>
        <w:t>文件。</w:t>
      </w:r>
    </w:p>
    <w:p>
      <w:pPr>
        <w:pStyle w:val="13"/>
        <w:spacing w:beforeAutospacing="0" w:afterAutospacing="0"/>
        <w:ind w:firstLine="560"/>
        <w:jc w:val="both"/>
        <w:rPr>
          <w:kern w:val="2"/>
          <w:sz w:val="28"/>
          <w:highlight w:val="none"/>
        </w:rPr>
      </w:pPr>
      <w:r>
        <w:rPr>
          <w:rFonts w:hint="eastAsia"/>
          <w:kern w:val="2"/>
          <w:sz w:val="28"/>
          <w:highlight w:val="none"/>
        </w:rPr>
        <w:t>3.</w:t>
      </w:r>
      <w:r>
        <w:rPr>
          <w:kern w:val="2"/>
          <w:sz w:val="28"/>
          <w:highlight w:val="none"/>
        </w:rPr>
        <w:t>如我方</w:t>
      </w:r>
      <w:r>
        <w:rPr>
          <w:rFonts w:hint="eastAsia"/>
          <w:kern w:val="2"/>
          <w:sz w:val="28"/>
          <w:highlight w:val="none"/>
        </w:rPr>
        <w:t>中选</w:t>
      </w:r>
      <w:r>
        <w:rPr>
          <w:kern w:val="2"/>
          <w:sz w:val="28"/>
          <w:highlight w:val="none"/>
        </w:rPr>
        <w:t>：</w:t>
      </w:r>
    </w:p>
    <w:p>
      <w:pPr>
        <w:pStyle w:val="13"/>
        <w:spacing w:beforeAutospacing="0" w:afterAutospacing="0"/>
        <w:ind w:firstLine="560"/>
        <w:jc w:val="both"/>
        <w:rPr>
          <w:kern w:val="2"/>
          <w:sz w:val="28"/>
          <w:highlight w:val="none"/>
        </w:rPr>
      </w:pPr>
      <w:r>
        <w:rPr>
          <w:kern w:val="2"/>
          <w:sz w:val="28"/>
          <w:highlight w:val="none"/>
        </w:rPr>
        <w:t>（1）我方承诺在收到</w:t>
      </w:r>
      <w:r>
        <w:rPr>
          <w:rFonts w:hint="eastAsia"/>
          <w:kern w:val="2"/>
          <w:sz w:val="28"/>
          <w:highlight w:val="none"/>
        </w:rPr>
        <w:t>中选</w:t>
      </w:r>
      <w:r>
        <w:rPr>
          <w:kern w:val="2"/>
          <w:sz w:val="28"/>
          <w:highlight w:val="none"/>
        </w:rPr>
        <w:t>通知书后，在</w:t>
      </w:r>
      <w:r>
        <w:rPr>
          <w:rFonts w:hint="eastAsia"/>
          <w:kern w:val="2"/>
          <w:sz w:val="28"/>
          <w:highlight w:val="none"/>
        </w:rPr>
        <w:t>中选</w:t>
      </w:r>
      <w:r>
        <w:rPr>
          <w:kern w:val="2"/>
          <w:sz w:val="28"/>
          <w:highlight w:val="none"/>
        </w:rPr>
        <w:t>通知书规定的期限内与</w:t>
      </w:r>
      <w:r>
        <w:rPr>
          <w:rFonts w:hint="eastAsia"/>
          <w:kern w:val="2"/>
          <w:sz w:val="28"/>
          <w:highlight w:val="none"/>
        </w:rPr>
        <w:t>贵</w:t>
      </w:r>
      <w:r>
        <w:rPr>
          <w:kern w:val="2"/>
          <w:sz w:val="28"/>
          <w:highlight w:val="none"/>
        </w:rPr>
        <w:t>方签订合同</w:t>
      </w:r>
      <w:r>
        <w:rPr>
          <w:rFonts w:hint="eastAsia"/>
          <w:kern w:val="2"/>
          <w:sz w:val="28"/>
          <w:highlight w:val="none"/>
          <w:lang w:eastAsia="zh-CN"/>
        </w:rPr>
        <w:t>；如</w:t>
      </w:r>
      <w:r>
        <w:rPr>
          <w:rFonts w:hint="eastAsia"/>
          <w:kern w:val="2"/>
          <w:sz w:val="28"/>
          <w:highlight w:val="none"/>
          <w:lang w:val="en-US" w:eastAsia="zh-CN"/>
        </w:rPr>
        <w:t>我方为贵</w:t>
      </w:r>
      <w:r>
        <w:rPr>
          <w:rFonts w:hint="eastAsia"/>
          <w:kern w:val="2"/>
          <w:sz w:val="28"/>
          <w:highlight w:val="none"/>
          <w:lang w:eastAsia="zh-CN"/>
        </w:rPr>
        <w:t>公司</w:t>
      </w:r>
      <w:r>
        <w:rPr>
          <w:rFonts w:hint="eastAsia"/>
          <w:kern w:val="2"/>
          <w:sz w:val="28"/>
          <w:highlight w:val="none"/>
          <w:lang w:val="en-US" w:eastAsia="zh-CN"/>
        </w:rPr>
        <w:t>新增合作供应商</w:t>
      </w:r>
      <w:r>
        <w:rPr>
          <w:rFonts w:hint="eastAsia"/>
          <w:kern w:val="2"/>
          <w:sz w:val="28"/>
          <w:highlight w:val="none"/>
          <w:lang w:eastAsia="zh-CN"/>
        </w:rPr>
        <w:t>，</w:t>
      </w:r>
      <w:r>
        <w:rPr>
          <w:rFonts w:hint="eastAsia"/>
          <w:kern w:val="2"/>
          <w:sz w:val="28"/>
          <w:highlight w:val="none"/>
        </w:rPr>
        <w:t>合同签订前按</w:t>
      </w:r>
      <w:r>
        <w:rPr>
          <w:rFonts w:hint="eastAsia"/>
          <w:kern w:val="2"/>
          <w:sz w:val="28"/>
          <w:highlight w:val="none"/>
          <w:lang w:val="en-US" w:eastAsia="zh-CN"/>
        </w:rPr>
        <w:t>要求以银行转账方式</w:t>
      </w:r>
      <w:r>
        <w:rPr>
          <w:rFonts w:hint="eastAsia"/>
          <w:kern w:val="2"/>
          <w:sz w:val="28"/>
          <w:highlight w:val="none"/>
        </w:rPr>
        <w:t>缴纳本项目履约保证金20万元；</w:t>
      </w:r>
      <w:r>
        <w:rPr>
          <w:kern w:val="2"/>
          <w:sz w:val="28"/>
          <w:highlight w:val="none"/>
        </w:rPr>
        <w:t>在</w:t>
      </w:r>
      <w:r>
        <w:rPr>
          <w:rFonts w:hint="eastAsia"/>
          <w:kern w:val="2"/>
          <w:sz w:val="28"/>
          <w:highlight w:val="none"/>
        </w:rPr>
        <w:t>贵方</w:t>
      </w:r>
      <w:r>
        <w:rPr>
          <w:kern w:val="2"/>
          <w:sz w:val="28"/>
          <w:highlight w:val="none"/>
        </w:rPr>
        <w:t>和我方签订合同</w:t>
      </w:r>
      <w:r>
        <w:rPr>
          <w:rFonts w:hint="eastAsia"/>
          <w:kern w:val="2"/>
          <w:sz w:val="28"/>
          <w:highlight w:val="none"/>
        </w:rPr>
        <w:t>后、我方实际承运前</w:t>
      </w:r>
      <w:r>
        <w:rPr>
          <w:kern w:val="2"/>
          <w:sz w:val="28"/>
          <w:highlight w:val="none"/>
        </w:rPr>
        <w:t>，所有用于本项目承运车辆均将</w:t>
      </w:r>
      <w:r>
        <w:rPr>
          <w:rFonts w:hint="eastAsia"/>
          <w:kern w:val="2"/>
          <w:sz w:val="28"/>
          <w:highlight w:val="none"/>
        </w:rPr>
        <w:t>按要求</w:t>
      </w:r>
      <w:r>
        <w:rPr>
          <w:kern w:val="2"/>
          <w:sz w:val="28"/>
          <w:highlight w:val="none"/>
        </w:rPr>
        <w:t>接入</w:t>
      </w:r>
      <w:r>
        <w:rPr>
          <w:rFonts w:hint="eastAsia"/>
          <w:kern w:val="2"/>
          <w:sz w:val="28"/>
          <w:highlight w:val="none"/>
        </w:rPr>
        <w:t>贵方指定运输监管</w:t>
      </w:r>
      <w:r>
        <w:rPr>
          <w:kern w:val="2"/>
          <w:sz w:val="28"/>
          <w:highlight w:val="none"/>
        </w:rPr>
        <w:t>系统</w:t>
      </w:r>
      <w:r>
        <w:rPr>
          <w:rFonts w:hint="eastAsia"/>
          <w:kern w:val="2"/>
          <w:sz w:val="28"/>
          <w:highlight w:val="none"/>
        </w:rPr>
        <w:t>，履行</w:t>
      </w:r>
      <w:r>
        <w:rPr>
          <w:kern w:val="2"/>
          <w:sz w:val="28"/>
          <w:highlight w:val="none"/>
        </w:rPr>
        <w:t>购置监控终端等潜在义务。</w:t>
      </w:r>
    </w:p>
    <w:p>
      <w:pPr>
        <w:pStyle w:val="13"/>
        <w:spacing w:beforeAutospacing="0" w:afterAutospacing="0"/>
        <w:ind w:firstLine="560"/>
        <w:jc w:val="both"/>
        <w:rPr>
          <w:kern w:val="2"/>
          <w:sz w:val="28"/>
          <w:highlight w:val="none"/>
        </w:rPr>
      </w:pPr>
      <w:r>
        <w:rPr>
          <w:kern w:val="2"/>
          <w:sz w:val="28"/>
          <w:highlight w:val="none"/>
        </w:rPr>
        <w:t>（2）我方知悉并认可以下</w:t>
      </w:r>
      <w:r>
        <w:rPr>
          <w:rFonts w:hint="eastAsia"/>
          <w:kern w:val="2"/>
          <w:sz w:val="28"/>
          <w:highlight w:val="none"/>
        </w:rPr>
        <w:t>中选</w:t>
      </w:r>
      <w:r>
        <w:rPr>
          <w:kern w:val="2"/>
          <w:sz w:val="28"/>
          <w:highlight w:val="none"/>
        </w:rPr>
        <w:t>后发生的潜在费用：运输监管系统使用费0.00</w:t>
      </w:r>
      <w:r>
        <w:rPr>
          <w:rFonts w:hint="eastAsia"/>
          <w:kern w:val="2"/>
          <w:sz w:val="28"/>
          <w:highlight w:val="none"/>
        </w:rPr>
        <w:t>5</w:t>
      </w:r>
      <w:r>
        <w:rPr>
          <w:kern w:val="2"/>
          <w:sz w:val="28"/>
          <w:highlight w:val="none"/>
        </w:rPr>
        <w:t>元/吨公里，由我方在签订合同后根据实际运输量每月向运输监管系统运营方支付；货车监控终端购置费</w:t>
      </w:r>
      <w:r>
        <w:rPr>
          <w:rFonts w:hint="eastAsia"/>
          <w:kern w:val="2"/>
          <w:sz w:val="28"/>
          <w:highlight w:val="none"/>
        </w:rPr>
        <w:t>2600</w:t>
      </w:r>
      <w:r>
        <w:rPr>
          <w:kern w:val="2"/>
          <w:sz w:val="28"/>
          <w:highlight w:val="none"/>
        </w:rPr>
        <w:t>元/车，由我方在承运车辆在安装监控终端后向系统运营方支付</w:t>
      </w:r>
      <w:r>
        <w:rPr>
          <w:rFonts w:hint="eastAsia"/>
          <w:kern w:val="2"/>
          <w:sz w:val="28"/>
          <w:highlight w:val="none"/>
        </w:rPr>
        <w:t>（费用收取方和费用标准以实际合同签订方为准）</w:t>
      </w:r>
      <w:r>
        <w:rPr>
          <w:kern w:val="2"/>
          <w:sz w:val="28"/>
          <w:highlight w:val="none"/>
        </w:rPr>
        <w:t>。</w:t>
      </w:r>
    </w:p>
    <w:p>
      <w:pPr>
        <w:pStyle w:val="13"/>
        <w:spacing w:beforeAutospacing="0" w:afterAutospacing="0"/>
        <w:ind w:firstLine="560"/>
        <w:jc w:val="both"/>
        <w:rPr>
          <w:kern w:val="2"/>
          <w:sz w:val="28"/>
          <w:highlight w:val="none"/>
        </w:rPr>
      </w:pPr>
      <w:r>
        <w:rPr>
          <w:kern w:val="2"/>
          <w:sz w:val="28"/>
          <w:highlight w:val="none"/>
        </w:rPr>
        <w:t>（3）</w:t>
      </w:r>
      <w:r>
        <w:rPr>
          <w:rFonts w:hint="eastAsia"/>
          <w:kern w:val="2"/>
          <w:sz w:val="28"/>
          <w:highlight w:val="none"/>
        </w:rPr>
        <w:t>我方知悉询价文件、响应文件中的运输数量</w:t>
      </w:r>
      <w:r>
        <w:rPr>
          <w:rFonts w:hint="eastAsia"/>
          <w:kern w:val="2"/>
          <w:sz w:val="28"/>
          <w:highlight w:val="none"/>
          <w:lang w:eastAsia="zh-CN"/>
        </w:rPr>
        <w:t>、</w:t>
      </w:r>
      <w:r>
        <w:rPr>
          <w:rFonts w:hint="eastAsia"/>
          <w:kern w:val="2"/>
          <w:sz w:val="28"/>
          <w:highlight w:val="none"/>
          <w:lang w:val="en-US" w:eastAsia="zh-CN"/>
        </w:rPr>
        <w:t>运输距离</w:t>
      </w:r>
      <w:r>
        <w:rPr>
          <w:rFonts w:hint="eastAsia"/>
          <w:kern w:val="2"/>
          <w:sz w:val="28"/>
          <w:highlight w:val="none"/>
        </w:rPr>
        <w:t>为暂估，</w:t>
      </w:r>
      <w:r>
        <w:rPr>
          <w:kern w:val="2"/>
          <w:sz w:val="28"/>
          <w:highlight w:val="none"/>
        </w:rPr>
        <w:t>在签订合同时</w:t>
      </w:r>
      <w:r>
        <w:rPr>
          <w:rFonts w:hint="eastAsia"/>
          <w:kern w:val="2"/>
          <w:sz w:val="28"/>
          <w:highlight w:val="none"/>
        </w:rPr>
        <w:t>承诺</w:t>
      </w:r>
      <w:r>
        <w:rPr>
          <w:kern w:val="2"/>
          <w:sz w:val="28"/>
          <w:highlight w:val="none"/>
        </w:rPr>
        <w:t>不向</w:t>
      </w:r>
      <w:r>
        <w:rPr>
          <w:rFonts w:hint="eastAsia"/>
          <w:kern w:val="2"/>
          <w:sz w:val="28"/>
          <w:highlight w:val="none"/>
        </w:rPr>
        <w:t>贵</w:t>
      </w:r>
      <w:r>
        <w:rPr>
          <w:kern w:val="2"/>
          <w:sz w:val="28"/>
          <w:highlight w:val="none"/>
        </w:rPr>
        <w:t>方提出附加条件。</w:t>
      </w:r>
    </w:p>
    <w:p>
      <w:pPr>
        <w:pStyle w:val="13"/>
        <w:spacing w:beforeAutospacing="0" w:afterAutospacing="0"/>
        <w:ind w:firstLine="560"/>
        <w:jc w:val="both"/>
        <w:rPr>
          <w:kern w:val="2"/>
          <w:sz w:val="28"/>
          <w:highlight w:val="none"/>
        </w:rPr>
      </w:pPr>
      <w:r>
        <w:rPr>
          <w:kern w:val="2"/>
          <w:sz w:val="28"/>
          <w:highlight w:val="none"/>
        </w:rPr>
        <w:t>（4）我方承诺在合同约定的期限内完成</w:t>
      </w:r>
      <w:r>
        <w:rPr>
          <w:rFonts w:hint="eastAsia"/>
          <w:kern w:val="2"/>
          <w:sz w:val="28"/>
          <w:highlight w:val="none"/>
        </w:rPr>
        <w:t>询价</w:t>
      </w:r>
      <w:r>
        <w:rPr>
          <w:kern w:val="2"/>
          <w:sz w:val="28"/>
          <w:highlight w:val="none"/>
        </w:rPr>
        <w:t>文件</w:t>
      </w:r>
      <w:r>
        <w:rPr>
          <w:rFonts w:hint="eastAsia"/>
          <w:kern w:val="2"/>
          <w:sz w:val="28"/>
          <w:highlight w:val="none"/>
        </w:rPr>
        <w:t>及合同</w:t>
      </w:r>
      <w:r>
        <w:rPr>
          <w:kern w:val="2"/>
          <w:sz w:val="28"/>
          <w:highlight w:val="none"/>
        </w:rPr>
        <w:t>规定的全部义务</w:t>
      </w:r>
      <w:r>
        <w:rPr>
          <w:rFonts w:hint="eastAsia"/>
          <w:kern w:val="2"/>
          <w:sz w:val="28"/>
          <w:highlight w:val="none"/>
        </w:rPr>
        <w:t>，按要求保质保量完成各项承运工作，遵守贵方公司内部关于运输单位管理的各项规章制度和规定</w:t>
      </w:r>
      <w:r>
        <w:rPr>
          <w:kern w:val="2"/>
          <w:sz w:val="28"/>
          <w:highlight w:val="none"/>
        </w:rPr>
        <w:t>。</w:t>
      </w:r>
    </w:p>
    <w:p>
      <w:pPr>
        <w:pStyle w:val="13"/>
        <w:spacing w:beforeAutospacing="0" w:afterAutospacing="0"/>
        <w:ind w:firstLine="560"/>
        <w:jc w:val="both"/>
        <w:rPr>
          <w:kern w:val="2"/>
          <w:sz w:val="28"/>
          <w:highlight w:val="none"/>
        </w:rPr>
      </w:pPr>
      <w:r>
        <w:rPr>
          <w:rFonts w:hint="eastAsia"/>
          <w:kern w:val="2"/>
          <w:sz w:val="28"/>
          <w:highlight w:val="none"/>
        </w:rPr>
        <w:t>4</w:t>
      </w:r>
      <w:r>
        <w:rPr>
          <w:kern w:val="2"/>
          <w:sz w:val="28"/>
          <w:highlight w:val="none"/>
        </w:rPr>
        <w:t>．我方在此声明，所递交的</w:t>
      </w:r>
      <w:r>
        <w:rPr>
          <w:rFonts w:hint="eastAsia"/>
          <w:kern w:val="2"/>
          <w:sz w:val="28"/>
          <w:highlight w:val="none"/>
        </w:rPr>
        <w:t>响应</w:t>
      </w:r>
      <w:r>
        <w:rPr>
          <w:kern w:val="2"/>
          <w:sz w:val="28"/>
          <w:highlight w:val="none"/>
        </w:rPr>
        <w:t>文件及有关资料内容完整、真实和准确，且不存在</w:t>
      </w:r>
      <w:r>
        <w:rPr>
          <w:rFonts w:hint="eastAsia"/>
          <w:kern w:val="2"/>
          <w:sz w:val="28"/>
          <w:highlight w:val="none"/>
        </w:rPr>
        <w:t>“</w:t>
      </w:r>
      <w:r>
        <w:rPr>
          <w:kern w:val="2"/>
          <w:sz w:val="28"/>
          <w:highlight w:val="none"/>
        </w:rPr>
        <w:t>申请人资格条件要求”第</w:t>
      </w:r>
      <w:r>
        <w:rPr>
          <w:rFonts w:hint="eastAsia"/>
          <w:kern w:val="2"/>
          <w:sz w:val="28"/>
          <w:highlight w:val="none"/>
        </w:rPr>
        <w:t>3.5</w:t>
      </w:r>
      <w:r>
        <w:rPr>
          <w:kern w:val="2"/>
          <w:sz w:val="28"/>
          <w:highlight w:val="none"/>
        </w:rPr>
        <w:t>项规定的任何一种情形。</w:t>
      </w:r>
    </w:p>
    <w:p>
      <w:pPr>
        <w:pStyle w:val="13"/>
        <w:spacing w:beforeAutospacing="0" w:afterAutospacing="0"/>
        <w:ind w:firstLine="560"/>
        <w:jc w:val="both"/>
        <w:rPr>
          <w:kern w:val="2"/>
          <w:sz w:val="28"/>
          <w:highlight w:val="none"/>
        </w:rPr>
      </w:pPr>
      <w:r>
        <w:rPr>
          <w:rFonts w:hint="eastAsia"/>
          <w:kern w:val="2"/>
          <w:sz w:val="28"/>
          <w:highlight w:val="none"/>
        </w:rPr>
        <w:t>5</w:t>
      </w:r>
      <w:r>
        <w:rPr>
          <w:kern w:val="2"/>
          <w:sz w:val="28"/>
          <w:highlight w:val="none"/>
        </w:rPr>
        <w:t>.在合同协议书正式签署生效之前，本</w:t>
      </w:r>
      <w:r>
        <w:rPr>
          <w:rFonts w:hint="eastAsia"/>
          <w:kern w:val="2"/>
          <w:sz w:val="28"/>
          <w:highlight w:val="none"/>
        </w:rPr>
        <w:t>报价</w:t>
      </w:r>
      <w:r>
        <w:rPr>
          <w:kern w:val="2"/>
          <w:sz w:val="28"/>
          <w:highlight w:val="none"/>
        </w:rPr>
        <w:t>函</w:t>
      </w:r>
      <w:r>
        <w:rPr>
          <w:rFonts w:hint="eastAsia"/>
          <w:kern w:val="2"/>
          <w:sz w:val="28"/>
          <w:highlight w:val="none"/>
        </w:rPr>
        <w:t>、响应文件</w:t>
      </w:r>
      <w:r>
        <w:rPr>
          <w:kern w:val="2"/>
          <w:sz w:val="28"/>
          <w:highlight w:val="none"/>
        </w:rPr>
        <w:t>连同</w:t>
      </w:r>
      <w:r>
        <w:rPr>
          <w:rFonts w:hint="eastAsia"/>
          <w:kern w:val="2"/>
          <w:sz w:val="28"/>
          <w:highlight w:val="none"/>
        </w:rPr>
        <w:t>贵</w:t>
      </w:r>
      <w:r>
        <w:rPr>
          <w:kern w:val="2"/>
          <w:sz w:val="28"/>
          <w:highlight w:val="none"/>
        </w:rPr>
        <w:t>方的</w:t>
      </w:r>
      <w:r>
        <w:rPr>
          <w:rFonts w:hint="eastAsia"/>
          <w:kern w:val="2"/>
          <w:sz w:val="28"/>
          <w:highlight w:val="none"/>
        </w:rPr>
        <w:t>中选</w:t>
      </w:r>
      <w:r>
        <w:rPr>
          <w:kern w:val="2"/>
          <w:sz w:val="28"/>
          <w:highlight w:val="none"/>
        </w:rPr>
        <w:t>通知书将构成我们双方之间共同遵守的文件，对双方具有约束力。</w:t>
      </w:r>
    </w:p>
    <w:p>
      <w:pPr>
        <w:pStyle w:val="13"/>
        <w:spacing w:beforeAutospacing="0" w:afterAutospacing="0"/>
        <w:ind w:firstLine="560"/>
        <w:jc w:val="both"/>
        <w:rPr>
          <w:kern w:val="2"/>
          <w:sz w:val="28"/>
          <w:highlight w:val="none"/>
        </w:rPr>
      </w:pPr>
      <w:r>
        <w:rPr>
          <w:rFonts w:hint="eastAsia"/>
          <w:kern w:val="2"/>
          <w:sz w:val="28"/>
          <w:highlight w:val="none"/>
        </w:rPr>
        <w:t>6</w:t>
      </w:r>
      <w:r>
        <w:rPr>
          <w:kern w:val="2"/>
          <w:sz w:val="28"/>
          <w:highlight w:val="none"/>
        </w:rPr>
        <w:t>．（其他补充说明</w:t>
      </w:r>
      <w:r>
        <w:rPr>
          <w:rFonts w:hint="eastAsia"/>
          <w:kern w:val="2"/>
          <w:sz w:val="28"/>
          <w:highlight w:val="none"/>
        </w:rPr>
        <w:t>，如有</w:t>
      </w:r>
      <w:r>
        <w:rPr>
          <w:kern w:val="2"/>
          <w:sz w:val="28"/>
          <w:highlight w:val="none"/>
        </w:rPr>
        <w:t>）</w:t>
      </w:r>
      <w:r>
        <w:rPr>
          <w:rFonts w:hint="eastAsia"/>
          <w:kern w:val="2"/>
          <w:sz w:val="28"/>
          <w:highlight w:val="none"/>
          <w:u w:val="single"/>
        </w:rPr>
        <w:t xml:space="preserve">               </w:t>
      </w:r>
      <w:r>
        <w:rPr>
          <w:kern w:val="2"/>
          <w:sz w:val="28"/>
          <w:highlight w:val="none"/>
        </w:rPr>
        <w:t>。</w:t>
      </w:r>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rPr>
      </w:pPr>
      <w:r>
        <w:rPr>
          <w:rFonts w:hint="eastAsia"/>
          <w:kern w:val="2"/>
          <w:sz w:val="28"/>
          <w:highlight w:val="none"/>
        </w:rPr>
        <w:t>申请</w:t>
      </w:r>
      <w:r>
        <w:rPr>
          <w:kern w:val="2"/>
          <w:sz w:val="28"/>
          <w:highlight w:val="none"/>
        </w:rPr>
        <w:t xml:space="preserve">人名称 (盖章)：         </w:t>
      </w:r>
    </w:p>
    <w:p>
      <w:pPr>
        <w:pStyle w:val="13"/>
        <w:spacing w:beforeAutospacing="0" w:afterAutospacing="0"/>
        <w:ind w:firstLine="560"/>
        <w:jc w:val="both"/>
        <w:rPr>
          <w:kern w:val="2"/>
          <w:sz w:val="28"/>
          <w:highlight w:val="none"/>
        </w:rPr>
      </w:pPr>
      <w:r>
        <w:rPr>
          <w:kern w:val="2"/>
          <w:sz w:val="28"/>
          <w:highlight w:val="none"/>
        </w:rPr>
        <w:t xml:space="preserve">法定代表人或授权代理人(签字)：             </w:t>
      </w:r>
    </w:p>
    <w:p>
      <w:pPr>
        <w:pStyle w:val="13"/>
        <w:spacing w:beforeAutospacing="0" w:afterAutospacing="0"/>
        <w:ind w:firstLine="560"/>
        <w:jc w:val="both"/>
        <w:rPr>
          <w:kern w:val="2"/>
          <w:sz w:val="28"/>
          <w:highlight w:val="none"/>
        </w:rPr>
      </w:pPr>
      <w:r>
        <w:rPr>
          <w:kern w:val="2"/>
          <w:sz w:val="28"/>
          <w:highlight w:val="none"/>
        </w:rPr>
        <w:t>通讯地址：</w:t>
      </w:r>
    </w:p>
    <w:p>
      <w:pPr>
        <w:pStyle w:val="13"/>
        <w:spacing w:beforeAutospacing="0" w:afterAutospacing="0"/>
        <w:ind w:firstLine="560"/>
        <w:jc w:val="both"/>
        <w:rPr>
          <w:kern w:val="2"/>
          <w:sz w:val="28"/>
          <w:highlight w:val="none"/>
        </w:rPr>
      </w:pPr>
      <w:r>
        <w:rPr>
          <w:kern w:val="2"/>
          <w:sz w:val="28"/>
          <w:highlight w:val="none"/>
        </w:rPr>
        <w:t>联系电话：</w:t>
      </w:r>
    </w:p>
    <w:p>
      <w:pPr>
        <w:pStyle w:val="13"/>
        <w:spacing w:beforeAutospacing="0" w:afterAutospacing="0"/>
        <w:ind w:firstLine="560"/>
        <w:jc w:val="both"/>
        <w:rPr>
          <w:kern w:val="2"/>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kern w:val="2"/>
          <w:sz w:val="28"/>
          <w:highlight w:val="none"/>
        </w:rPr>
        <w:t>日期：</w:t>
      </w:r>
    </w:p>
    <w:p>
      <w:pPr>
        <w:ind w:firstLine="0" w:firstLineChars="0"/>
        <w:jc w:val="center"/>
        <w:rPr>
          <w:rFonts w:eastAsia="黑体"/>
          <w:szCs w:val="32"/>
          <w:highlight w:val="none"/>
        </w:rPr>
      </w:pPr>
      <w:r>
        <w:rPr>
          <w:rFonts w:hint="eastAsia" w:eastAsia="黑体"/>
          <w:szCs w:val="32"/>
          <w:highlight w:val="none"/>
        </w:rPr>
        <w:t>二、报价明细表</w:t>
      </w:r>
    </w:p>
    <w:tbl>
      <w:tblPr>
        <w:tblStyle w:val="15"/>
        <w:tblpPr w:leftFromText="180" w:rightFromText="180" w:vertAnchor="text" w:horzAnchor="page" w:tblpX="1167" w:tblpY="349"/>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9"/>
        <w:gridCol w:w="1573"/>
        <w:gridCol w:w="1423"/>
        <w:gridCol w:w="1367"/>
        <w:gridCol w:w="1328"/>
        <w:gridCol w:w="1360"/>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9" w:hRule="atLeast"/>
        </w:trPr>
        <w:tc>
          <w:tcPr>
            <w:tcW w:w="639" w:type="dxa"/>
            <w:vAlign w:val="center"/>
          </w:tcPr>
          <w:p>
            <w:pPr>
              <w:pStyle w:val="13"/>
              <w:spacing w:beforeAutospacing="0" w:afterAutospacing="0" w:line="360" w:lineRule="exact"/>
              <w:ind w:firstLine="0" w:firstLineChars="0"/>
              <w:jc w:val="center"/>
              <w:rPr>
                <w:kern w:val="2"/>
                <w:szCs w:val="22"/>
                <w:highlight w:val="none"/>
              </w:rPr>
            </w:pPr>
            <w:r>
              <w:rPr>
                <w:rFonts w:hint="eastAsia"/>
                <w:kern w:val="2"/>
                <w:szCs w:val="22"/>
                <w:highlight w:val="none"/>
              </w:rPr>
              <w:t>材料</w:t>
            </w:r>
            <w:r>
              <w:rPr>
                <w:kern w:val="2"/>
                <w:szCs w:val="22"/>
                <w:highlight w:val="none"/>
              </w:rPr>
              <w:t>名称</w:t>
            </w:r>
          </w:p>
        </w:tc>
        <w:tc>
          <w:tcPr>
            <w:tcW w:w="1573" w:type="dxa"/>
            <w:vAlign w:val="center"/>
          </w:tcPr>
          <w:p>
            <w:pPr>
              <w:pStyle w:val="13"/>
              <w:spacing w:beforeAutospacing="0" w:afterAutospacing="0" w:line="360" w:lineRule="exact"/>
              <w:ind w:firstLine="0" w:firstLineChars="0"/>
              <w:jc w:val="center"/>
              <w:rPr>
                <w:kern w:val="2"/>
                <w:szCs w:val="22"/>
                <w:highlight w:val="none"/>
              </w:rPr>
            </w:pPr>
            <w:r>
              <w:rPr>
                <w:rFonts w:hint="eastAsia"/>
                <w:kern w:val="2"/>
                <w:szCs w:val="22"/>
                <w:highlight w:val="none"/>
              </w:rPr>
              <w:t>起始地点</w:t>
            </w:r>
          </w:p>
        </w:tc>
        <w:tc>
          <w:tcPr>
            <w:tcW w:w="1423" w:type="dxa"/>
            <w:vAlign w:val="center"/>
          </w:tcPr>
          <w:p>
            <w:pPr>
              <w:pStyle w:val="13"/>
              <w:spacing w:beforeAutospacing="0" w:afterAutospacing="0" w:line="360" w:lineRule="exact"/>
              <w:ind w:firstLine="0" w:firstLineChars="0"/>
              <w:jc w:val="center"/>
              <w:rPr>
                <w:kern w:val="2"/>
                <w:szCs w:val="22"/>
                <w:highlight w:val="none"/>
              </w:rPr>
            </w:pPr>
            <w:r>
              <w:rPr>
                <w:rFonts w:hint="eastAsia"/>
                <w:kern w:val="2"/>
                <w:szCs w:val="22"/>
                <w:highlight w:val="none"/>
              </w:rPr>
              <w:t>结束地点</w:t>
            </w:r>
          </w:p>
        </w:tc>
        <w:tc>
          <w:tcPr>
            <w:tcW w:w="1367" w:type="dxa"/>
            <w:vAlign w:val="center"/>
          </w:tcPr>
          <w:p>
            <w:pPr>
              <w:pStyle w:val="13"/>
              <w:spacing w:beforeAutospacing="0" w:afterAutospacing="0" w:line="360" w:lineRule="exact"/>
              <w:ind w:firstLine="0" w:firstLineChars="0"/>
              <w:jc w:val="center"/>
              <w:rPr>
                <w:kern w:val="2"/>
                <w:szCs w:val="22"/>
                <w:highlight w:val="none"/>
              </w:rPr>
            </w:pPr>
            <w:r>
              <w:rPr>
                <w:rFonts w:hint="eastAsia"/>
                <w:kern w:val="2"/>
                <w:szCs w:val="22"/>
                <w:highlight w:val="none"/>
              </w:rPr>
              <w:t>预估数量（吨）（1）</w:t>
            </w:r>
          </w:p>
        </w:tc>
        <w:tc>
          <w:tcPr>
            <w:tcW w:w="1328" w:type="dxa"/>
            <w:vAlign w:val="center"/>
          </w:tcPr>
          <w:p>
            <w:pPr>
              <w:pStyle w:val="13"/>
              <w:spacing w:beforeAutospacing="0" w:afterAutospacing="0" w:line="360" w:lineRule="exact"/>
              <w:ind w:firstLine="0" w:firstLineChars="0"/>
              <w:jc w:val="center"/>
              <w:rPr>
                <w:kern w:val="2"/>
                <w:szCs w:val="22"/>
                <w:highlight w:val="none"/>
              </w:rPr>
            </w:pPr>
            <w:r>
              <w:rPr>
                <w:rFonts w:hint="eastAsia"/>
                <w:kern w:val="2"/>
                <w:szCs w:val="22"/>
                <w:highlight w:val="none"/>
                <w:lang w:val="en-US" w:eastAsia="zh-CN"/>
              </w:rPr>
              <w:t>单价</w:t>
            </w:r>
            <w:r>
              <w:rPr>
                <w:rFonts w:hint="eastAsia"/>
                <w:kern w:val="2"/>
                <w:szCs w:val="22"/>
                <w:highlight w:val="none"/>
              </w:rPr>
              <w:t>报价（元/吨</w:t>
            </w:r>
            <w:r>
              <w:rPr>
                <w:rFonts w:hint="eastAsia"/>
                <w:kern w:val="2"/>
                <w:szCs w:val="22"/>
                <w:highlight w:val="none"/>
                <w:lang w:val="en-US" w:eastAsia="zh-CN"/>
              </w:rPr>
              <w:t>公里</w:t>
            </w:r>
            <w:r>
              <w:rPr>
                <w:rFonts w:hint="eastAsia"/>
                <w:kern w:val="2"/>
                <w:szCs w:val="22"/>
                <w:highlight w:val="none"/>
              </w:rPr>
              <w:t>）（2）</w:t>
            </w:r>
          </w:p>
        </w:tc>
        <w:tc>
          <w:tcPr>
            <w:tcW w:w="1360" w:type="dxa"/>
            <w:vAlign w:val="center"/>
          </w:tcPr>
          <w:p>
            <w:pPr>
              <w:pStyle w:val="13"/>
              <w:spacing w:beforeAutospacing="0" w:afterAutospacing="0" w:line="360" w:lineRule="exact"/>
              <w:ind w:firstLine="0" w:firstLineChars="0"/>
              <w:jc w:val="center"/>
              <w:rPr>
                <w:rFonts w:hint="default"/>
                <w:kern w:val="2"/>
                <w:szCs w:val="22"/>
                <w:highlight w:val="none"/>
                <w:lang w:val="en-US" w:eastAsia="zh-CN"/>
              </w:rPr>
            </w:pPr>
            <w:r>
              <w:rPr>
                <w:rFonts w:hint="eastAsia"/>
                <w:kern w:val="2"/>
                <w:szCs w:val="22"/>
                <w:highlight w:val="none"/>
                <w:lang w:val="en-US" w:eastAsia="zh-CN"/>
              </w:rPr>
              <w:t>参考预估公里数（公里）（3）</w:t>
            </w:r>
          </w:p>
        </w:tc>
        <w:tc>
          <w:tcPr>
            <w:tcW w:w="1865" w:type="dxa"/>
            <w:vAlign w:val="center"/>
          </w:tcPr>
          <w:p>
            <w:pPr>
              <w:pStyle w:val="13"/>
              <w:spacing w:beforeAutospacing="0" w:afterAutospacing="0" w:line="360" w:lineRule="exact"/>
              <w:ind w:firstLine="0" w:firstLineChars="0"/>
              <w:jc w:val="center"/>
              <w:rPr>
                <w:rFonts w:hint="eastAsia"/>
                <w:kern w:val="2"/>
                <w:szCs w:val="22"/>
                <w:highlight w:val="none"/>
                <w:lang w:val="en-US" w:eastAsia="zh-CN"/>
              </w:rPr>
            </w:pPr>
            <w:r>
              <w:rPr>
                <w:rFonts w:hint="eastAsia"/>
                <w:kern w:val="2"/>
                <w:szCs w:val="22"/>
                <w:highlight w:val="none"/>
                <w:lang w:val="en-US" w:eastAsia="zh-CN"/>
              </w:rPr>
              <w:t>总价（元）</w:t>
            </w:r>
          </w:p>
          <w:p>
            <w:pPr>
              <w:pStyle w:val="13"/>
              <w:spacing w:beforeAutospacing="0" w:afterAutospacing="0" w:line="360" w:lineRule="exact"/>
              <w:ind w:firstLine="0" w:firstLineChars="0"/>
              <w:jc w:val="center"/>
              <w:rPr>
                <w:rFonts w:hint="default"/>
                <w:kern w:val="2"/>
                <w:szCs w:val="22"/>
                <w:highlight w:val="none"/>
                <w:lang w:val="en-US" w:eastAsia="zh-CN"/>
              </w:rPr>
            </w:pPr>
            <w:r>
              <w:rPr>
                <w:rFonts w:hint="eastAsia"/>
                <w:kern w:val="2"/>
                <w:szCs w:val="22"/>
                <w:highlight w:val="none"/>
                <w:lang w:val="en-US" w:eastAsia="zh-CN"/>
              </w:rPr>
              <w:t>(4)=(1)*(2)*(3)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0" w:hRule="atLeast"/>
        </w:trPr>
        <w:tc>
          <w:tcPr>
            <w:tcW w:w="639" w:type="dxa"/>
            <w:vAlign w:val="center"/>
          </w:tcPr>
          <w:p>
            <w:pPr>
              <w:pStyle w:val="13"/>
              <w:spacing w:beforeAutospacing="0" w:afterAutospacing="0" w:line="360" w:lineRule="exact"/>
              <w:ind w:firstLine="0" w:firstLineChars="0"/>
              <w:jc w:val="center"/>
              <w:rPr>
                <w:rFonts w:hint="eastAsia"/>
                <w:kern w:val="2"/>
                <w:szCs w:val="22"/>
                <w:highlight w:val="none"/>
              </w:rPr>
            </w:pPr>
          </w:p>
        </w:tc>
        <w:tc>
          <w:tcPr>
            <w:tcW w:w="1573" w:type="dxa"/>
            <w:vAlign w:val="center"/>
          </w:tcPr>
          <w:p>
            <w:pPr>
              <w:spacing w:line="240" w:lineRule="auto"/>
              <w:ind w:firstLine="0" w:firstLineChars="0"/>
              <w:jc w:val="center"/>
              <w:rPr>
                <w:rFonts w:hint="eastAsia" w:ascii="Times New Roman" w:hAnsi="Times New Roman" w:eastAsia="仿宋_GB2312" w:cs="Times New Roman"/>
                <w:kern w:val="2"/>
                <w:sz w:val="32"/>
                <w:szCs w:val="22"/>
                <w:highlight w:val="none"/>
                <w:lang w:val="en-US" w:eastAsia="zh-CN" w:bidi="ar-SA"/>
              </w:rPr>
            </w:pPr>
            <w:r>
              <w:rPr>
                <w:rFonts w:hint="eastAsia"/>
                <w:sz w:val="24"/>
                <w:highlight w:val="none"/>
                <w:lang w:val="en-US" w:eastAsia="zh-CN"/>
              </w:rPr>
              <w:t>云南省昆明市安宁市</w:t>
            </w:r>
            <w:r>
              <w:rPr>
                <w:rFonts w:hint="default" w:eastAsia="仿宋_GB2312"/>
                <w:sz w:val="24"/>
                <w:highlight w:val="none"/>
                <w:lang w:val="en-US" w:eastAsia="zh-CN"/>
              </w:rPr>
              <w:t>区</w:t>
            </w:r>
            <w:r>
              <w:rPr>
                <w:rFonts w:hint="eastAsia"/>
                <w:sz w:val="24"/>
                <w:highlight w:val="none"/>
                <w:lang w:val="en-US" w:eastAsia="zh-CN"/>
              </w:rPr>
              <w:t>指定沥青库区</w:t>
            </w:r>
          </w:p>
        </w:tc>
        <w:tc>
          <w:tcPr>
            <w:tcW w:w="1423" w:type="dxa"/>
            <w:vAlign w:val="center"/>
          </w:tcPr>
          <w:p>
            <w:pPr>
              <w:spacing w:line="240" w:lineRule="auto"/>
              <w:ind w:firstLine="0" w:firstLineChars="0"/>
              <w:jc w:val="center"/>
              <w:rPr>
                <w:rFonts w:hint="eastAsia" w:ascii="Times New Roman" w:hAnsi="Times New Roman" w:eastAsia="仿宋_GB2312" w:cs="Times New Roman"/>
                <w:kern w:val="2"/>
                <w:sz w:val="32"/>
                <w:szCs w:val="22"/>
                <w:highlight w:val="none"/>
                <w:lang w:val="en-US" w:eastAsia="zh-CN" w:bidi="ar-SA"/>
              </w:rPr>
            </w:pPr>
            <w:r>
              <w:rPr>
                <w:rFonts w:hint="eastAsia"/>
                <w:sz w:val="24"/>
                <w:highlight w:val="none"/>
                <w:lang w:val="en-US" w:eastAsia="zh-CN"/>
              </w:rPr>
              <w:t>甘孜州稻城县(G664线稻城县香格里拉至各卡（川滇界）段改造工程指定拌合站）</w:t>
            </w:r>
          </w:p>
        </w:tc>
        <w:tc>
          <w:tcPr>
            <w:tcW w:w="1367" w:type="dxa"/>
            <w:vAlign w:val="center"/>
          </w:tcPr>
          <w:p>
            <w:pPr>
              <w:pStyle w:val="13"/>
              <w:spacing w:beforeAutospacing="0" w:afterAutospacing="0" w:line="360" w:lineRule="exact"/>
              <w:ind w:firstLine="0" w:firstLineChars="0"/>
              <w:jc w:val="center"/>
              <w:rPr>
                <w:rFonts w:hint="default"/>
                <w:kern w:val="2"/>
                <w:sz w:val="28"/>
                <w:highlight w:val="none"/>
                <w:lang w:val="en-US" w:eastAsia="zh-CN"/>
              </w:rPr>
            </w:pPr>
            <w:r>
              <w:rPr>
                <w:rFonts w:hint="eastAsia"/>
                <w:kern w:val="2"/>
                <w:sz w:val="28"/>
                <w:highlight w:val="none"/>
                <w:lang w:val="en-US" w:eastAsia="zh-CN"/>
              </w:rPr>
              <w:t>9100</w:t>
            </w:r>
          </w:p>
        </w:tc>
        <w:tc>
          <w:tcPr>
            <w:tcW w:w="1328" w:type="dxa"/>
            <w:vAlign w:val="center"/>
          </w:tcPr>
          <w:p>
            <w:pPr>
              <w:pStyle w:val="13"/>
              <w:spacing w:beforeAutospacing="0" w:afterAutospacing="0" w:line="360" w:lineRule="exact"/>
              <w:ind w:firstLine="0" w:firstLineChars="0"/>
              <w:jc w:val="both"/>
              <w:rPr>
                <w:rFonts w:hint="eastAsia"/>
                <w:kern w:val="2"/>
                <w:szCs w:val="22"/>
                <w:highlight w:val="none"/>
                <w:u w:val="single"/>
              </w:rPr>
            </w:pPr>
          </w:p>
        </w:tc>
        <w:tc>
          <w:tcPr>
            <w:tcW w:w="1360" w:type="dxa"/>
            <w:vAlign w:val="center"/>
          </w:tcPr>
          <w:p>
            <w:pPr>
              <w:pStyle w:val="13"/>
              <w:spacing w:beforeAutospacing="0" w:afterAutospacing="0" w:line="360" w:lineRule="exact"/>
              <w:ind w:firstLine="0" w:firstLineChars="0"/>
              <w:jc w:val="center"/>
              <w:rPr>
                <w:rFonts w:hint="default"/>
                <w:kern w:val="2"/>
                <w:szCs w:val="22"/>
                <w:highlight w:val="none"/>
                <w:u w:val="none"/>
                <w:lang w:val="en-US" w:eastAsia="zh-CN"/>
              </w:rPr>
            </w:pPr>
            <w:r>
              <w:rPr>
                <w:rFonts w:hint="eastAsia" w:ascii="Times New Roman" w:hAnsi="Times New Roman" w:cs="Times New Roman"/>
                <w:kern w:val="2"/>
                <w:szCs w:val="24"/>
                <w:highlight w:val="none"/>
                <w:u w:val="none"/>
                <w:lang w:val="en-US" w:eastAsia="zh-CN"/>
              </w:rPr>
              <w:t>738</w:t>
            </w:r>
          </w:p>
        </w:tc>
        <w:tc>
          <w:tcPr>
            <w:tcW w:w="1865" w:type="dxa"/>
            <w:vAlign w:val="center"/>
          </w:tcPr>
          <w:p>
            <w:pPr>
              <w:pStyle w:val="13"/>
              <w:spacing w:beforeAutospacing="0" w:afterAutospacing="0" w:line="360" w:lineRule="exact"/>
              <w:ind w:firstLine="0" w:firstLineChars="0"/>
              <w:jc w:val="both"/>
              <w:rPr>
                <w:rFonts w:hint="eastAsia"/>
                <w:kern w:val="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0" w:hRule="atLeast"/>
        </w:trPr>
        <w:tc>
          <w:tcPr>
            <w:tcW w:w="639" w:type="dxa"/>
            <w:vMerge w:val="restart"/>
            <w:vAlign w:val="center"/>
          </w:tcPr>
          <w:p>
            <w:pPr>
              <w:pStyle w:val="13"/>
              <w:spacing w:beforeAutospacing="0" w:afterAutospacing="0" w:line="360" w:lineRule="exact"/>
              <w:ind w:firstLine="0" w:firstLineChars="0"/>
              <w:jc w:val="center"/>
              <w:rPr>
                <w:kern w:val="2"/>
                <w:szCs w:val="22"/>
                <w:highlight w:val="none"/>
              </w:rPr>
            </w:pPr>
            <w:r>
              <w:rPr>
                <w:rFonts w:hint="eastAsia"/>
                <w:kern w:val="2"/>
                <w:szCs w:val="22"/>
                <w:highlight w:val="none"/>
              </w:rPr>
              <w:t>沥青</w:t>
            </w:r>
          </w:p>
        </w:tc>
        <w:tc>
          <w:tcPr>
            <w:tcW w:w="1573" w:type="dxa"/>
            <w:vAlign w:val="center"/>
          </w:tcPr>
          <w:p>
            <w:pPr>
              <w:spacing w:line="240" w:lineRule="auto"/>
              <w:ind w:firstLine="0" w:firstLineChars="0"/>
              <w:jc w:val="center"/>
              <w:rPr>
                <w:kern w:val="2"/>
                <w:szCs w:val="22"/>
                <w:highlight w:val="none"/>
              </w:rPr>
            </w:pPr>
            <w:r>
              <w:rPr>
                <w:rFonts w:hint="eastAsia"/>
                <w:sz w:val="24"/>
                <w:highlight w:val="none"/>
                <w:lang w:val="en-US" w:eastAsia="zh-CN"/>
              </w:rPr>
              <w:t>云南省昆明市安宁市</w:t>
            </w:r>
            <w:r>
              <w:rPr>
                <w:rFonts w:hint="default" w:eastAsia="仿宋_GB2312"/>
                <w:sz w:val="24"/>
                <w:highlight w:val="none"/>
                <w:lang w:val="en-US" w:eastAsia="zh-CN"/>
              </w:rPr>
              <w:t>区</w:t>
            </w:r>
            <w:r>
              <w:rPr>
                <w:rFonts w:hint="eastAsia"/>
                <w:sz w:val="24"/>
                <w:highlight w:val="none"/>
                <w:lang w:val="en-US" w:eastAsia="zh-CN"/>
              </w:rPr>
              <w:t>指定沥青库区</w:t>
            </w:r>
          </w:p>
        </w:tc>
        <w:tc>
          <w:tcPr>
            <w:tcW w:w="1423" w:type="dxa"/>
            <w:vMerge w:val="restart"/>
            <w:vAlign w:val="center"/>
          </w:tcPr>
          <w:p>
            <w:pPr>
              <w:spacing w:line="240" w:lineRule="auto"/>
              <w:ind w:firstLine="0" w:firstLineChars="0"/>
              <w:jc w:val="center"/>
              <w:rPr>
                <w:kern w:val="2"/>
                <w:szCs w:val="22"/>
                <w:highlight w:val="none"/>
              </w:rPr>
            </w:pPr>
            <w:r>
              <w:rPr>
                <w:rFonts w:hint="eastAsia"/>
                <w:sz w:val="24"/>
                <w:highlight w:val="none"/>
                <w:lang w:val="en-US" w:eastAsia="zh-CN"/>
              </w:rPr>
              <w:t>除本项目外地的甘孜州其他施工地址</w:t>
            </w:r>
          </w:p>
        </w:tc>
        <w:tc>
          <w:tcPr>
            <w:tcW w:w="1367" w:type="dxa"/>
            <w:vAlign w:val="center"/>
          </w:tcPr>
          <w:p>
            <w:pPr>
              <w:pStyle w:val="13"/>
              <w:spacing w:beforeAutospacing="0" w:afterAutospacing="0" w:line="360" w:lineRule="exact"/>
              <w:ind w:firstLine="0" w:firstLineChars="0"/>
              <w:jc w:val="center"/>
              <w:rPr>
                <w:rFonts w:hint="default" w:eastAsia="仿宋_GB2312"/>
                <w:kern w:val="2"/>
                <w:szCs w:val="22"/>
                <w:highlight w:val="none"/>
                <w:lang w:val="en-US" w:eastAsia="zh-CN"/>
              </w:rPr>
            </w:pPr>
            <w:r>
              <w:rPr>
                <w:rFonts w:hint="eastAsia"/>
                <w:kern w:val="2"/>
                <w:sz w:val="28"/>
                <w:highlight w:val="none"/>
                <w:lang w:val="en-US" w:eastAsia="zh-CN"/>
              </w:rPr>
              <w:t>/</w:t>
            </w:r>
          </w:p>
        </w:tc>
        <w:tc>
          <w:tcPr>
            <w:tcW w:w="1328" w:type="dxa"/>
            <w:vAlign w:val="center"/>
          </w:tcPr>
          <w:p>
            <w:pPr>
              <w:pStyle w:val="13"/>
              <w:spacing w:beforeAutospacing="0" w:afterAutospacing="0" w:line="360" w:lineRule="exact"/>
              <w:ind w:firstLine="0" w:firstLineChars="0"/>
              <w:jc w:val="both"/>
              <w:rPr>
                <w:kern w:val="2"/>
                <w:szCs w:val="22"/>
                <w:highlight w:val="none"/>
              </w:rPr>
            </w:pPr>
            <w:r>
              <w:rPr>
                <w:rFonts w:hint="eastAsia"/>
                <w:kern w:val="2"/>
                <w:szCs w:val="22"/>
                <w:highlight w:val="none"/>
                <w:u w:val="single"/>
              </w:rPr>
              <w:t xml:space="preserve"> </w:t>
            </w:r>
            <w:r>
              <w:rPr>
                <w:rFonts w:hint="eastAsia"/>
                <w:kern w:val="2"/>
                <w:szCs w:val="22"/>
                <w:highlight w:val="none"/>
                <w:u w:val="single"/>
                <w:lang w:val="en-US" w:eastAsia="zh-CN"/>
              </w:rPr>
              <w:t xml:space="preserve">      </w:t>
            </w:r>
            <w:r>
              <w:rPr>
                <w:rFonts w:hint="eastAsia"/>
                <w:kern w:val="2"/>
                <w:szCs w:val="22"/>
                <w:highlight w:val="none"/>
                <w:u w:val="single"/>
              </w:rPr>
              <w:t xml:space="preserve">  </w:t>
            </w:r>
          </w:p>
        </w:tc>
        <w:tc>
          <w:tcPr>
            <w:tcW w:w="1360" w:type="dxa"/>
            <w:vAlign w:val="center"/>
          </w:tcPr>
          <w:p>
            <w:pPr>
              <w:pStyle w:val="13"/>
              <w:spacing w:beforeAutospacing="0" w:afterAutospacing="0" w:line="360" w:lineRule="exact"/>
              <w:ind w:firstLine="0" w:firstLineChars="0"/>
              <w:jc w:val="center"/>
              <w:rPr>
                <w:rFonts w:hint="default" w:eastAsia="仿宋_GB2312"/>
                <w:kern w:val="2"/>
                <w:szCs w:val="22"/>
                <w:highlight w:val="none"/>
                <w:u w:val="none"/>
                <w:lang w:val="en-US" w:eastAsia="zh-CN"/>
              </w:rPr>
            </w:pPr>
            <w:r>
              <w:rPr>
                <w:rFonts w:hint="eastAsia"/>
                <w:kern w:val="2"/>
                <w:szCs w:val="22"/>
                <w:highlight w:val="none"/>
                <w:u w:val="none"/>
                <w:lang w:val="en-US" w:eastAsia="zh-CN"/>
              </w:rPr>
              <w:t>/</w:t>
            </w:r>
          </w:p>
        </w:tc>
        <w:tc>
          <w:tcPr>
            <w:tcW w:w="1865" w:type="dxa"/>
            <w:vAlign w:val="center"/>
          </w:tcPr>
          <w:p>
            <w:pPr>
              <w:pStyle w:val="13"/>
              <w:spacing w:beforeAutospacing="0" w:afterAutospacing="0" w:line="360" w:lineRule="exact"/>
              <w:ind w:firstLine="0" w:firstLineChars="0"/>
              <w:jc w:val="both"/>
              <w:rPr>
                <w:rFonts w:hint="default" w:eastAsia="仿宋_GB2312"/>
                <w:kern w:val="2"/>
                <w:szCs w:val="22"/>
                <w:highlight w:val="none"/>
                <w:u w:val="single"/>
                <w:lang w:val="en-US" w:eastAsia="zh-CN"/>
              </w:rPr>
            </w:pPr>
            <w:r>
              <w:rPr>
                <w:rFonts w:hint="eastAsia"/>
                <w:kern w:val="2"/>
                <w:szCs w:val="22"/>
                <w:highlight w:val="none"/>
                <w:u w:val="single"/>
                <w:lang w:val="en-US" w:eastAsia="zh-CN"/>
              </w:rPr>
              <w:t>本项仅作为后续委托其他项目临供承运报价，不作为本次评审依据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trPr>
        <w:tc>
          <w:tcPr>
            <w:tcW w:w="3635" w:type="dxa"/>
            <w:gridSpan w:val="3"/>
            <w:vAlign w:val="center"/>
          </w:tcPr>
          <w:p>
            <w:pPr>
              <w:pStyle w:val="13"/>
              <w:spacing w:beforeAutospacing="0" w:afterAutospacing="0" w:line="360" w:lineRule="exact"/>
              <w:ind w:firstLine="0" w:firstLineChars="0"/>
              <w:jc w:val="center"/>
              <w:rPr>
                <w:rFonts w:hint="eastAsia" w:eastAsia="仿宋_GB2312"/>
                <w:kern w:val="2"/>
                <w:sz w:val="28"/>
                <w:highlight w:val="none"/>
                <w:lang w:val="en-US" w:eastAsia="zh-CN"/>
              </w:rPr>
            </w:pPr>
            <w:r>
              <w:rPr>
                <w:rFonts w:hint="eastAsia"/>
                <w:kern w:val="2"/>
                <w:sz w:val="24"/>
                <w:szCs w:val="22"/>
                <w:highlight w:val="none"/>
                <w:lang w:val="en-US" w:eastAsia="zh-CN"/>
              </w:rPr>
              <w:t>合计</w:t>
            </w:r>
          </w:p>
        </w:tc>
        <w:tc>
          <w:tcPr>
            <w:tcW w:w="1367" w:type="dxa"/>
            <w:vAlign w:val="center"/>
          </w:tcPr>
          <w:p>
            <w:pPr>
              <w:pStyle w:val="13"/>
              <w:spacing w:beforeAutospacing="0" w:afterAutospacing="0" w:line="360" w:lineRule="exact"/>
              <w:ind w:firstLine="0" w:firstLineChars="0"/>
              <w:jc w:val="center"/>
              <w:rPr>
                <w:rFonts w:hint="default"/>
                <w:kern w:val="2"/>
                <w:sz w:val="28"/>
                <w:highlight w:val="none"/>
                <w:lang w:val="en-US" w:eastAsia="zh-CN"/>
              </w:rPr>
            </w:pPr>
            <w:r>
              <w:rPr>
                <w:rFonts w:hint="eastAsia"/>
                <w:kern w:val="2"/>
                <w:sz w:val="28"/>
                <w:highlight w:val="none"/>
                <w:lang w:val="en-US" w:eastAsia="zh-CN"/>
              </w:rPr>
              <w:t>9100</w:t>
            </w:r>
          </w:p>
        </w:tc>
        <w:tc>
          <w:tcPr>
            <w:tcW w:w="1328" w:type="dxa"/>
            <w:vAlign w:val="center"/>
          </w:tcPr>
          <w:p>
            <w:pPr>
              <w:pStyle w:val="13"/>
              <w:spacing w:beforeAutospacing="0" w:afterAutospacing="0" w:line="360" w:lineRule="exact"/>
              <w:ind w:firstLine="0" w:firstLineChars="0"/>
              <w:jc w:val="center"/>
              <w:rPr>
                <w:rFonts w:hint="eastAsia" w:eastAsia="仿宋_GB2312"/>
                <w:kern w:val="2"/>
                <w:szCs w:val="22"/>
                <w:highlight w:val="none"/>
                <w:u w:val="single"/>
                <w:lang w:val="en-US" w:eastAsia="zh-CN"/>
              </w:rPr>
            </w:pPr>
          </w:p>
        </w:tc>
        <w:tc>
          <w:tcPr>
            <w:tcW w:w="1360" w:type="dxa"/>
            <w:vAlign w:val="center"/>
          </w:tcPr>
          <w:p>
            <w:pPr>
              <w:pStyle w:val="13"/>
              <w:spacing w:beforeAutospacing="0" w:afterAutospacing="0" w:line="360" w:lineRule="exact"/>
              <w:ind w:firstLine="0" w:firstLineChars="0"/>
              <w:jc w:val="center"/>
              <w:rPr>
                <w:rFonts w:hint="default"/>
                <w:kern w:val="2"/>
                <w:szCs w:val="22"/>
                <w:highlight w:val="none"/>
                <w:u w:val="single"/>
                <w:lang w:val="en-US" w:eastAsia="zh-CN"/>
              </w:rPr>
            </w:pPr>
          </w:p>
        </w:tc>
        <w:tc>
          <w:tcPr>
            <w:tcW w:w="1865" w:type="dxa"/>
            <w:vAlign w:val="center"/>
          </w:tcPr>
          <w:p>
            <w:pPr>
              <w:pStyle w:val="13"/>
              <w:spacing w:beforeAutospacing="0" w:afterAutospacing="0" w:line="360" w:lineRule="exact"/>
              <w:ind w:firstLine="0" w:firstLineChars="0"/>
              <w:jc w:val="both"/>
              <w:rPr>
                <w:rFonts w:hint="default" w:eastAsia="仿宋_GB2312"/>
                <w:kern w:val="2"/>
                <w:szCs w:val="22"/>
                <w:highlight w:val="none"/>
                <w:u w:val="single"/>
                <w:lang w:val="en-US" w:eastAsia="zh-CN"/>
              </w:rPr>
            </w:pPr>
            <w:r>
              <w:rPr>
                <w:rFonts w:hint="eastAsia"/>
                <w:kern w:val="2"/>
                <w:szCs w:val="22"/>
                <w:highlight w:val="none"/>
                <w:u w:val="single"/>
              </w:rPr>
              <w:t xml:space="preserve">  </w:t>
            </w:r>
            <w:r>
              <w:rPr>
                <w:rFonts w:hint="eastAsia"/>
                <w:kern w:val="2"/>
                <w:szCs w:val="22"/>
                <w:highlight w:val="none"/>
                <w:u w:val="single"/>
                <w:lang w:val="en-US" w:eastAsia="zh-CN"/>
              </w:rPr>
              <w:t xml:space="preserve">     </w:t>
            </w:r>
            <w:r>
              <w:rPr>
                <w:rFonts w:hint="eastAsia"/>
                <w:kern w:val="2"/>
                <w:szCs w:val="22"/>
                <w:highlight w:val="none"/>
                <w:u w:val="single"/>
              </w:rPr>
              <w:t xml:space="preserve">  </w:t>
            </w:r>
            <w:r>
              <w:rPr>
                <w:rFonts w:hint="eastAsia"/>
                <w:kern w:val="2"/>
                <w:szCs w:val="22"/>
                <w:highlight w:val="none"/>
                <w:u w:val="single"/>
                <w:lang w:val="en-US" w:eastAsia="zh-CN"/>
              </w:rPr>
              <w:t xml:space="preserve"> </w:t>
            </w:r>
          </w:p>
        </w:tc>
      </w:tr>
    </w:tbl>
    <w:p>
      <w:pPr>
        <w:pStyle w:val="2"/>
        <w:spacing w:line="360" w:lineRule="exact"/>
        <w:ind w:firstLine="0" w:firstLineChars="0"/>
        <w:rPr>
          <w:highlight w:val="none"/>
        </w:rPr>
      </w:pPr>
    </w:p>
    <w:p>
      <w:pPr>
        <w:adjustRightInd w:val="0"/>
        <w:snapToGrid w:val="0"/>
        <w:spacing w:line="360" w:lineRule="auto"/>
        <w:ind w:firstLine="400"/>
        <w:rPr>
          <w:rFonts w:ascii="宋体" w:hAnsi="宋体" w:eastAsia="宋体" w:cs="宋体"/>
          <w:kern w:val="0"/>
          <w:sz w:val="20"/>
          <w:szCs w:val="20"/>
          <w:highlight w:val="none"/>
        </w:rPr>
      </w:pPr>
    </w:p>
    <w:p>
      <w:pPr>
        <w:pStyle w:val="13"/>
        <w:spacing w:beforeAutospacing="0" w:afterAutospacing="0"/>
        <w:ind w:firstLine="560"/>
        <w:jc w:val="both"/>
        <w:rPr>
          <w:kern w:val="2"/>
          <w:sz w:val="28"/>
          <w:highlight w:val="none"/>
        </w:rPr>
      </w:pPr>
      <w:r>
        <w:rPr>
          <w:rFonts w:hint="eastAsia"/>
          <w:kern w:val="2"/>
          <w:sz w:val="28"/>
          <w:highlight w:val="none"/>
        </w:rPr>
        <w:t>响应报价补充说明：</w:t>
      </w:r>
    </w:p>
    <w:p>
      <w:pPr>
        <w:pStyle w:val="13"/>
        <w:spacing w:beforeAutospacing="0" w:afterAutospacing="0"/>
        <w:ind w:firstLine="560"/>
        <w:jc w:val="both"/>
        <w:rPr>
          <w:kern w:val="2"/>
          <w:sz w:val="28"/>
          <w:highlight w:val="none"/>
        </w:rPr>
      </w:pPr>
      <w:r>
        <w:rPr>
          <w:rFonts w:hint="eastAsia"/>
          <w:kern w:val="2"/>
          <w:sz w:val="28"/>
          <w:highlight w:val="none"/>
        </w:rPr>
        <w:t>1.报价明细表</w:t>
      </w:r>
      <w:r>
        <w:rPr>
          <w:rFonts w:hint="eastAsia"/>
          <w:kern w:val="2"/>
          <w:sz w:val="28"/>
          <w:highlight w:val="none"/>
          <w:lang w:val="en-US" w:eastAsia="zh-CN"/>
        </w:rPr>
        <w:t>单价报价</w:t>
      </w:r>
      <w:r>
        <w:rPr>
          <w:rFonts w:hint="eastAsia"/>
          <w:kern w:val="2"/>
          <w:sz w:val="28"/>
          <w:highlight w:val="none"/>
        </w:rPr>
        <w:t>金额应与报价</w:t>
      </w:r>
      <w:r>
        <w:rPr>
          <w:kern w:val="2"/>
          <w:sz w:val="28"/>
          <w:highlight w:val="none"/>
        </w:rPr>
        <w:t>函中的报价一致，</w:t>
      </w:r>
      <w:r>
        <w:rPr>
          <w:rFonts w:hint="eastAsia"/>
          <w:kern w:val="2"/>
          <w:sz w:val="28"/>
          <w:highlight w:val="none"/>
        </w:rPr>
        <w:t>精确到小数点后三位。响应报价应包含但不限于人工费、9%税票费用、过路过桥费、装卸费、运杂费、管理费、物流系统使用费、货车监控终端购置费、保险费、管理费、票据贴息费、利润及税金等所有费用以及采购人明示或暗示的所有责任、义务和一般风险所需的费用。申请人在报价前应自行踏勘交通通行状况、运距，充分考虑各种情况下运输路线及运输成本，因各种非采购人责任导致的超运距、绕运、转运增加的运输费用由申请人承担，包括但不限于交通堵塞、临时交通管制、道路维修、自然灾害导致的道路毁损、阻断、人为设置路障等，申请人应在报价时合理考虑。申请人应为自己可能所需要的专用和临时道路通行权（包括进入现场道路的通行权），承担全部费用和开支，包括与政府相关部门的沟通协调以及所需的费用。按采购人要求将所有投入或拟投入项目运输的车辆按规定接入指定运输管理系统，配置指定监控终端的费用</w:t>
      </w:r>
      <w:r>
        <w:rPr>
          <w:rFonts w:hint="eastAsia"/>
          <w:kern w:val="2"/>
          <w:sz w:val="28"/>
          <w:highlight w:val="none"/>
          <w:lang w:eastAsia="zh-CN"/>
        </w:rPr>
        <w:t>、</w:t>
      </w:r>
      <w:r>
        <w:rPr>
          <w:rFonts w:hint="eastAsia"/>
          <w:kern w:val="2"/>
          <w:sz w:val="28"/>
          <w:highlight w:val="none"/>
          <w:lang w:val="en-US" w:eastAsia="zh-CN"/>
        </w:rPr>
        <w:t>系统使用等费用</w:t>
      </w:r>
      <w:r>
        <w:rPr>
          <w:rFonts w:hint="eastAsia"/>
          <w:kern w:val="2"/>
          <w:sz w:val="28"/>
          <w:highlight w:val="none"/>
        </w:rPr>
        <w:t>应已包含在响应报价的综合单价中，申请人不得再行向采购人主张此部分费用。</w:t>
      </w:r>
    </w:p>
    <w:p>
      <w:pPr>
        <w:pStyle w:val="13"/>
        <w:spacing w:beforeAutospacing="0" w:afterAutospacing="0"/>
        <w:ind w:firstLine="560"/>
        <w:jc w:val="both"/>
        <w:rPr>
          <w:kern w:val="2"/>
          <w:sz w:val="28"/>
          <w:highlight w:val="none"/>
        </w:rPr>
      </w:pPr>
      <w:r>
        <w:rPr>
          <w:rFonts w:hint="eastAsia"/>
          <w:kern w:val="2"/>
          <w:sz w:val="28"/>
          <w:highlight w:val="none"/>
        </w:rPr>
        <w:t>2.上述预估数量</w:t>
      </w:r>
      <w:r>
        <w:rPr>
          <w:rFonts w:hint="eastAsia"/>
          <w:kern w:val="2"/>
          <w:sz w:val="28"/>
          <w:highlight w:val="none"/>
          <w:lang w:eastAsia="zh-CN"/>
        </w:rPr>
        <w:t>、</w:t>
      </w:r>
      <w:r>
        <w:rPr>
          <w:rFonts w:hint="eastAsia"/>
          <w:kern w:val="2"/>
          <w:sz w:val="28"/>
          <w:highlight w:val="none"/>
          <w:lang w:val="en-US" w:eastAsia="zh-CN"/>
        </w:rPr>
        <w:t>预估运距</w:t>
      </w:r>
      <w:r>
        <w:rPr>
          <w:rFonts w:hint="eastAsia"/>
          <w:kern w:val="2"/>
          <w:sz w:val="28"/>
          <w:highlight w:val="none"/>
        </w:rPr>
        <w:t>仅作为申请人报价成本测算和采购人评审参考使用，不作为实际</w:t>
      </w:r>
      <w:r>
        <w:rPr>
          <w:rFonts w:hint="eastAsia"/>
          <w:kern w:val="2"/>
          <w:sz w:val="28"/>
          <w:highlight w:val="none"/>
          <w:lang w:val="en-US" w:eastAsia="zh-CN"/>
        </w:rPr>
        <w:t>业务合作</w:t>
      </w:r>
      <w:r>
        <w:rPr>
          <w:rFonts w:hint="eastAsia"/>
          <w:kern w:val="2"/>
          <w:sz w:val="28"/>
          <w:highlight w:val="none"/>
        </w:rPr>
        <w:t>的承诺，运输数量以采购人收货现场实际过磅结算数据为准</w:t>
      </w:r>
      <w:r>
        <w:rPr>
          <w:rFonts w:hint="eastAsia"/>
          <w:kern w:val="2"/>
          <w:sz w:val="28"/>
          <w:highlight w:val="none"/>
          <w:lang w:eastAsia="zh-CN"/>
        </w:rPr>
        <w:t>，</w:t>
      </w:r>
      <w:r>
        <w:rPr>
          <w:rFonts w:hint="eastAsia"/>
          <w:kern w:val="2"/>
          <w:sz w:val="28"/>
          <w:highlight w:val="none"/>
          <w:lang w:val="en-US" w:eastAsia="zh-CN"/>
        </w:rPr>
        <w:t>运输距离以合同签订后</w:t>
      </w:r>
      <w:r>
        <w:rPr>
          <w:rFonts w:hint="eastAsia"/>
          <w:kern w:val="2"/>
          <w:sz w:val="28"/>
          <w:highlight w:val="none"/>
        </w:rPr>
        <w:t>采购人</w:t>
      </w:r>
      <w:r>
        <w:rPr>
          <w:rFonts w:hint="eastAsia"/>
          <w:kern w:val="2"/>
          <w:sz w:val="28"/>
          <w:highlight w:val="none"/>
          <w:lang w:val="en-US" w:eastAsia="zh-CN"/>
        </w:rPr>
        <w:t>与申请人签订的运距确认表为准</w:t>
      </w:r>
      <w:r>
        <w:rPr>
          <w:rFonts w:hint="eastAsia"/>
          <w:kern w:val="2"/>
          <w:sz w:val="28"/>
          <w:highlight w:val="none"/>
        </w:rPr>
        <w:t>。</w:t>
      </w:r>
    </w:p>
    <w:p>
      <w:pPr>
        <w:ind w:firstLine="0" w:firstLineChars="0"/>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ind w:firstLine="0" w:firstLineChars="0"/>
        <w:jc w:val="center"/>
        <w:rPr>
          <w:rFonts w:eastAsia="黑体"/>
          <w:szCs w:val="32"/>
          <w:highlight w:val="none"/>
        </w:rPr>
      </w:pPr>
      <w:bookmarkStart w:id="1" w:name="_Toc9193"/>
      <w:bookmarkStart w:id="2" w:name="_Toc14446"/>
      <w:bookmarkStart w:id="3" w:name="_Toc5650"/>
      <w:bookmarkStart w:id="4" w:name="_Toc564"/>
      <w:bookmarkStart w:id="5" w:name="_Toc339565704"/>
      <w:bookmarkStart w:id="6" w:name="_Toc1883"/>
      <w:bookmarkStart w:id="7" w:name="_Toc15739"/>
      <w:bookmarkStart w:id="8" w:name="_Toc18076"/>
      <w:bookmarkStart w:id="9" w:name="_Toc10931"/>
      <w:bookmarkStart w:id="10" w:name="_Toc50406518"/>
      <w:bookmarkStart w:id="11" w:name="_Toc49937764"/>
      <w:bookmarkStart w:id="12" w:name="_Toc49937683"/>
      <w:bookmarkStart w:id="13" w:name="_Toc100148943"/>
      <w:bookmarkStart w:id="14" w:name="_Toc12246"/>
      <w:r>
        <w:rPr>
          <w:rFonts w:hint="eastAsia" w:eastAsia="黑体"/>
          <w:szCs w:val="32"/>
          <w:highlight w:val="none"/>
        </w:rPr>
        <w:t>三、授权委托书</w:t>
      </w:r>
      <w:bookmarkEnd w:id="1"/>
      <w:bookmarkEnd w:id="2"/>
      <w:bookmarkEnd w:id="3"/>
      <w:bookmarkEnd w:id="4"/>
      <w:bookmarkEnd w:id="5"/>
      <w:r>
        <w:rPr>
          <w:rFonts w:hint="eastAsia" w:eastAsia="黑体"/>
          <w:szCs w:val="32"/>
          <w:highlight w:val="none"/>
        </w:rPr>
        <w:t>或法定代表人身份证明</w:t>
      </w:r>
      <w:bookmarkEnd w:id="6"/>
      <w:bookmarkEnd w:id="7"/>
      <w:bookmarkEnd w:id="8"/>
      <w:bookmarkEnd w:id="9"/>
      <w:bookmarkEnd w:id="10"/>
      <w:bookmarkEnd w:id="11"/>
      <w:bookmarkEnd w:id="12"/>
      <w:bookmarkEnd w:id="13"/>
      <w:bookmarkEnd w:id="14"/>
      <w:bookmarkStart w:id="15" w:name="_Toc15972"/>
      <w:bookmarkStart w:id="16" w:name="_Toc23618"/>
      <w:bookmarkStart w:id="17" w:name="_Toc2814"/>
      <w:bookmarkStart w:id="18" w:name="_Toc10106"/>
      <w:bookmarkStart w:id="19" w:name="_Toc100148944"/>
      <w:bookmarkStart w:id="20" w:name="_Toc16586"/>
    </w:p>
    <w:p>
      <w:pPr>
        <w:ind w:firstLine="0" w:firstLineChars="0"/>
        <w:jc w:val="center"/>
        <w:rPr>
          <w:rFonts w:eastAsia="黑体"/>
          <w:szCs w:val="32"/>
          <w:highlight w:val="none"/>
        </w:rPr>
      </w:pPr>
      <w:r>
        <w:rPr>
          <w:rFonts w:hint="eastAsia" w:eastAsia="黑体"/>
          <w:szCs w:val="32"/>
          <w:highlight w:val="none"/>
        </w:rPr>
        <w:t>（一）授权委托书</w:t>
      </w:r>
      <w:bookmarkEnd w:id="15"/>
      <w:bookmarkEnd w:id="16"/>
      <w:bookmarkEnd w:id="17"/>
      <w:bookmarkEnd w:id="18"/>
      <w:bookmarkEnd w:id="19"/>
      <w:bookmarkEnd w:id="20"/>
    </w:p>
    <w:p>
      <w:pPr>
        <w:pStyle w:val="13"/>
        <w:spacing w:beforeAutospacing="0" w:afterAutospacing="0"/>
        <w:ind w:firstLine="560"/>
        <w:jc w:val="both"/>
        <w:rPr>
          <w:kern w:val="2"/>
          <w:sz w:val="28"/>
          <w:highlight w:val="none"/>
        </w:rPr>
      </w:pPr>
    </w:p>
    <w:p>
      <w:pPr>
        <w:pStyle w:val="13"/>
        <w:spacing w:beforeAutospacing="0" w:afterAutospacing="0"/>
        <w:ind w:firstLine="0" w:firstLineChars="0"/>
        <w:jc w:val="both"/>
        <w:rPr>
          <w:kern w:val="2"/>
          <w:sz w:val="28"/>
          <w:highlight w:val="none"/>
        </w:rPr>
      </w:pPr>
      <w:r>
        <w:rPr>
          <w:rFonts w:hint="eastAsia"/>
          <w:kern w:val="2"/>
          <w:sz w:val="28"/>
          <w:highlight w:val="none"/>
        </w:rPr>
        <w:t>四川蜀物路面材料有限公司：</w:t>
      </w:r>
    </w:p>
    <w:p>
      <w:pPr>
        <w:pStyle w:val="13"/>
        <w:spacing w:beforeAutospacing="0" w:afterAutospacing="0"/>
        <w:ind w:firstLine="560"/>
        <w:jc w:val="both"/>
        <w:rPr>
          <w:kern w:val="2"/>
          <w:sz w:val="28"/>
          <w:highlight w:val="none"/>
        </w:rPr>
      </w:pPr>
      <w:r>
        <w:rPr>
          <w:rFonts w:hint="eastAsia"/>
          <w:kern w:val="2"/>
          <w:sz w:val="28"/>
          <w:highlight w:val="none"/>
        </w:rPr>
        <w:t>本人</w:t>
      </w:r>
      <w:r>
        <w:rPr>
          <w:rFonts w:hint="eastAsia"/>
          <w:kern w:val="2"/>
          <w:sz w:val="28"/>
          <w:highlight w:val="none"/>
          <w:u w:val="single"/>
        </w:rPr>
        <w:t xml:space="preserve">       （姓名）</w:t>
      </w:r>
      <w:r>
        <w:rPr>
          <w:rFonts w:hint="eastAsia"/>
          <w:kern w:val="2"/>
          <w:sz w:val="28"/>
          <w:highlight w:val="none"/>
        </w:rPr>
        <w:t>系</w:t>
      </w:r>
      <w:r>
        <w:rPr>
          <w:rFonts w:hint="eastAsia"/>
          <w:kern w:val="2"/>
          <w:sz w:val="28"/>
          <w:highlight w:val="none"/>
          <w:u w:val="single"/>
        </w:rPr>
        <w:t xml:space="preserve">            （申请人名称）</w:t>
      </w:r>
      <w:r>
        <w:rPr>
          <w:rFonts w:hint="eastAsia"/>
          <w:kern w:val="2"/>
          <w:sz w:val="28"/>
          <w:highlight w:val="none"/>
        </w:rPr>
        <w:t xml:space="preserve">的法定代表人，现委托 </w:t>
      </w:r>
      <w:r>
        <w:rPr>
          <w:rFonts w:hint="eastAsia"/>
          <w:kern w:val="2"/>
          <w:sz w:val="28"/>
          <w:highlight w:val="none"/>
          <w:u w:val="single"/>
        </w:rPr>
        <w:t xml:space="preserve">     （姓名）</w:t>
      </w:r>
      <w:r>
        <w:rPr>
          <w:rFonts w:hint="eastAsia"/>
          <w:kern w:val="2"/>
          <w:sz w:val="28"/>
          <w:highlight w:val="none"/>
        </w:rPr>
        <w:t>为我方代理人。代理人根据授权，以我方名义签署、澄清、说明、补正、递交、撤回、修改</w:t>
      </w:r>
      <w:r>
        <w:rPr>
          <w:rFonts w:hint="eastAsia"/>
          <w:kern w:val="2"/>
          <w:sz w:val="28"/>
          <w:highlight w:val="none"/>
          <w:u w:val="single"/>
          <w:lang w:eastAsia="zh-CN"/>
        </w:rPr>
        <w:t>G664线稻城县香格里拉至各卡（川滇界）段改造工程</w:t>
      </w:r>
      <w:r>
        <w:rPr>
          <w:rFonts w:hint="eastAsia"/>
          <w:kern w:val="2"/>
          <w:sz w:val="28"/>
          <w:highlight w:val="none"/>
          <w:u w:val="single"/>
        </w:rPr>
        <w:t>沥青材料</w:t>
      </w:r>
      <w:r>
        <w:rPr>
          <w:kern w:val="2"/>
          <w:sz w:val="28"/>
          <w:highlight w:val="none"/>
          <w:u w:val="single"/>
        </w:rPr>
        <w:t>公路运输公开询价</w:t>
      </w:r>
      <w:r>
        <w:rPr>
          <w:rFonts w:hint="eastAsia"/>
          <w:kern w:val="2"/>
          <w:sz w:val="28"/>
          <w:highlight w:val="none"/>
          <w:u w:val="single"/>
        </w:rPr>
        <w:t>项目</w:t>
      </w:r>
      <w:r>
        <w:rPr>
          <w:rFonts w:hint="eastAsia"/>
          <w:kern w:val="2"/>
          <w:sz w:val="28"/>
          <w:highlight w:val="none"/>
        </w:rPr>
        <w:t>的响应文件、签订合同和处理有关事宜，其法律后果由我方承担。</w:t>
      </w:r>
    </w:p>
    <w:p>
      <w:pPr>
        <w:pStyle w:val="13"/>
        <w:spacing w:beforeAutospacing="0" w:afterAutospacing="0"/>
        <w:ind w:firstLine="560"/>
        <w:jc w:val="both"/>
        <w:rPr>
          <w:kern w:val="2"/>
          <w:sz w:val="28"/>
          <w:highlight w:val="none"/>
        </w:rPr>
      </w:pPr>
      <w:r>
        <w:rPr>
          <w:rFonts w:hint="eastAsia"/>
          <w:kern w:val="2"/>
          <w:sz w:val="28"/>
          <w:highlight w:val="none"/>
        </w:rPr>
        <w:t>代理人无权再授权。</w:t>
      </w:r>
    </w:p>
    <w:p>
      <w:pPr>
        <w:pStyle w:val="13"/>
        <w:spacing w:beforeAutospacing="0" w:afterAutospacing="0"/>
        <w:ind w:firstLine="560"/>
        <w:jc w:val="both"/>
        <w:rPr>
          <w:kern w:val="2"/>
          <w:sz w:val="28"/>
          <w:highlight w:val="none"/>
        </w:rPr>
      </w:pPr>
      <w:r>
        <w:rPr>
          <w:rFonts w:hint="eastAsia"/>
          <w:kern w:val="2"/>
          <w:sz w:val="28"/>
          <w:highlight w:val="none"/>
        </w:rPr>
        <w:t>后附：委托代理人及法定代表人身份证影印件（黑白或彩色）</w:t>
      </w:r>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rPr>
      </w:pPr>
      <w:r>
        <w:rPr>
          <w:rFonts w:hint="eastAsia"/>
          <w:kern w:val="2"/>
          <w:sz w:val="28"/>
          <w:highlight w:val="none"/>
        </w:rPr>
        <w:t xml:space="preserve">法定代表人签字：             </w:t>
      </w:r>
    </w:p>
    <w:p>
      <w:pPr>
        <w:pStyle w:val="13"/>
        <w:spacing w:beforeAutospacing="0" w:afterAutospacing="0"/>
        <w:ind w:firstLine="560"/>
        <w:jc w:val="both"/>
        <w:rPr>
          <w:kern w:val="2"/>
          <w:sz w:val="28"/>
          <w:highlight w:val="none"/>
        </w:rPr>
      </w:pPr>
      <w:r>
        <w:rPr>
          <w:rFonts w:hint="eastAsia"/>
          <w:kern w:val="2"/>
          <w:sz w:val="28"/>
          <w:highlight w:val="none"/>
        </w:rPr>
        <w:t xml:space="preserve">授权代理人签字：               </w:t>
      </w:r>
    </w:p>
    <w:p>
      <w:pPr>
        <w:pStyle w:val="13"/>
        <w:spacing w:beforeAutospacing="0" w:afterAutospacing="0"/>
        <w:ind w:firstLine="560"/>
        <w:jc w:val="both"/>
        <w:rPr>
          <w:kern w:val="2"/>
          <w:sz w:val="28"/>
          <w:highlight w:val="none"/>
        </w:rPr>
      </w:pPr>
      <w:r>
        <w:rPr>
          <w:rFonts w:hint="eastAsia"/>
          <w:kern w:val="2"/>
          <w:sz w:val="28"/>
          <w:highlight w:val="none"/>
        </w:rPr>
        <w:t>申请人名称：            (盖章)</w:t>
      </w:r>
    </w:p>
    <w:p>
      <w:pPr>
        <w:pStyle w:val="13"/>
        <w:spacing w:beforeAutospacing="0" w:afterAutospacing="0"/>
        <w:ind w:firstLine="560"/>
        <w:jc w:val="both"/>
        <w:rPr>
          <w:kern w:val="2"/>
          <w:sz w:val="28"/>
          <w:highlight w:val="none"/>
        </w:rPr>
      </w:pPr>
      <w:r>
        <w:rPr>
          <w:rFonts w:hint="eastAsia"/>
          <w:kern w:val="2"/>
          <w:sz w:val="28"/>
          <w:highlight w:val="none"/>
        </w:rPr>
        <w:t>日    期：</w:t>
      </w:r>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rPr>
      </w:pPr>
      <w:r>
        <w:rPr>
          <w:rFonts w:hint="eastAsia"/>
          <w:kern w:val="2"/>
          <w:sz w:val="28"/>
          <w:highlight w:val="none"/>
        </w:rPr>
        <w:t>注：1.如果响应文件由委托代理人签署，则申请人须提交授权委托书（不再提供法定代表人身份证明），授权委托书须满足下列要求：</w:t>
      </w:r>
    </w:p>
    <w:p>
      <w:pPr>
        <w:pStyle w:val="13"/>
        <w:spacing w:beforeAutospacing="0" w:afterAutospacing="0"/>
        <w:ind w:firstLine="560"/>
        <w:jc w:val="both"/>
        <w:rPr>
          <w:kern w:val="2"/>
          <w:sz w:val="28"/>
          <w:highlight w:val="none"/>
        </w:rPr>
      </w:pPr>
      <w:r>
        <w:rPr>
          <w:rFonts w:hint="eastAsia"/>
          <w:kern w:val="2"/>
          <w:sz w:val="28"/>
          <w:highlight w:val="none"/>
        </w:rPr>
        <w:t>（1）法定代表人和委托代理人必须在授权书上亲笔签名，不得使用印章、签名章或其他电子制版签名代替；</w:t>
      </w:r>
    </w:p>
    <w:p>
      <w:pPr>
        <w:pStyle w:val="13"/>
        <w:spacing w:beforeAutospacing="0" w:afterAutospacing="0"/>
        <w:ind w:firstLine="560"/>
        <w:jc w:val="both"/>
        <w:rPr>
          <w:kern w:val="2"/>
          <w:sz w:val="28"/>
          <w:highlight w:val="none"/>
        </w:rPr>
      </w:pPr>
      <w:r>
        <w:rPr>
          <w:rFonts w:hint="eastAsia"/>
          <w:kern w:val="2"/>
          <w:sz w:val="28"/>
          <w:highlight w:val="none"/>
        </w:rPr>
        <w:t xml:space="preserve">（2）委托代理人只能是一个人，且不能再授予他人，否则其授权无效。授权委托书的时间应与法定代表人或其委托代理人签署报价函的时间同日或在其之前。 </w:t>
      </w:r>
    </w:p>
    <w:p>
      <w:pPr>
        <w:pStyle w:val="13"/>
        <w:spacing w:beforeAutospacing="0" w:afterAutospacing="0"/>
        <w:ind w:firstLine="0" w:firstLineChars="0"/>
        <w:jc w:val="center"/>
        <w:rPr>
          <w:kern w:val="2"/>
          <w:sz w:val="28"/>
          <w:highlight w:val="none"/>
        </w:rPr>
      </w:pPr>
      <w:r>
        <w:rPr>
          <w:rFonts w:hint="eastAsia"/>
          <w:kern w:val="2"/>
          <w:sz w:val="28"/>
          <w:highlight w:val="none"/>
        </w:rPr>
        <w:br w:type="page"/>
      </w:r>
      <w:bookmarkStart w:id="21" w:name="_Toc17099"/>
      <w:bookmarkStart w:id="22" w:name="_Toc100148945"/>
      <w:bookmarkStart w:id="23" w:name="_Toc2597"/>
      <w:bookmarkStart w:id="24" w:name="_Toc20658"/>
      <w:bookmarkStart w:id="25" w:name="_Toc6432"/>
      <w:bookmarkStart w:id="26" w:name="_Toc14833"/>
      <w:r>
        <w:rPr>
          <w:rFonts w:hint="eastAsia" w:eastAsia="黑体"/>
          <w:kern w:val="2"/>
          <w:sz w:val="32"/>
          <w:szCs w:val="32"/>
          <w:highlight w:val="none"/>
        </w:rPr>
        <w:t>（二）法定代表人身份证明</w:t>
      </w:r>
      <w:bookmarkEnd w:id="21"/>
      <w:bookmarkEnd w:id="22"/>
      <w:bookmarkEnd w:id="23"/>
      <w:bookmarkEnd w:id="24"/>
      <w:bookmarkEnd w:id="25"/>
      <w:bookmarkEnd w:id="26"/>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u w:val="single"/>
        </w:rPr>
      </w:pPr>
      <w:r>
        <w:rPr>
          <w:rFonts w:hint="eastAsia"/>
          <w:kern w:val="2"/>
          <w:sz w:val="28"/>
          <w:highlight w:val="none"/>
        </w:rPr>
        <w:t>申请人名称：</w:t>
      </w:r>
      <w:r>
        <w:rPr>
          <w:rFonts w:hint="eastAsia"/>
          <w:kern w:val="2"/>
          <w:sz w:val="28"/>
          <w:highlight w:val="none"/>
          <w:u w:val="single"/>
        </w:rPr>
        <w:t xml:space="preserve">              </w:t>
      </w:r>
    </w:p>
    <w:p>
      <w:pPr>
        <w:pStyle w:val="13"/>
        <w:spacing w:beforeAutospacing="0" w:afterAutospacing="0"/>
        <w:ind w:firstLine="560"/>
        <w:jc w:val="both"/>
        <w:rPr>
          <w:kern w:val="2"/>
          <w:sz w:val="28"/>
          <w:highlight w:val="none"/>
        </w:rPr>
      </w:pPr>
      <w:r>
        <w:rPr>
          <w:rFonts w:hint="eastAsia"/>
          <w:kern w:val="2"/>
          <w:sz w:val="28"/>
          <w:highlight w:val="none"/>
        </w:rPr>
        <w:t>单位性质：</w:t>
      </w:r>
      <w:r>
        <w:rPr>
          <w:rFonts w:hint="eastAsia"/>
          <w:kern w:val="2"/>
          <w:sz w:val="28"/>
          <w:highlight w:val="none"/>
          <w:u w:val="single"/>
        </w:rPr>
        <w:t xml:space="preserve">                </w:t>
      </w:r>
    </w:p>
    <w:p>
      <w:pPr>
        <w:pStyle w:val="13"/>
        <w:spacing w:beforeAutospacing="0" w:afterAutospacing="0"/>
        <w:ind w:firstLine="560"/>
        <w:jc w:val="both"/>
        <w:rPr>
          <w:kern w:val="2"/>
          <w:sz w:val="28"/>
          <w:highlight w:val="none"/>
        </w:rPr>
      </w:pPr>
      <w:r>
        <w:rPr>
          <w:rFonts w:hint="eastAsia"/>
          <w:kern w:val="2"/>
          <w:sz w:val="28"/>
          <w:highlight w:val="none"/>
        </w:rPr>
        <w:t>地址：</w:t>
      </w:r>
      <w:r>
        <w:rPr>
          <w:rFonts w:hint="eastAsia"/>
          <w:kern w:val="2"/>
          <w:sz w:val="28"/>
          <w:highlight w:val="none"/>
          <w:u w:val="single"/>
        </w:rPr>
        <w:t xml:space="preserve">                    </w:t>
      </w:r>
      <w:r>
        <w:rPr>
          <w:rFonts w:hint="eastAsia"/>
          <w:kern w:val="2"/>
          <w:sz w:val="28"/>
          <w:highlight w:val="none"/>
        </w:rPr>
        <w:t xml:space="preserve">     </w:t>
      </w:r>
    </w:p>
    <w:p>
      <w:pPr>
        <w:pStyle w:val="13"/>
        <w:spacing w:beforeAutospacing="0" w:afterAutospacing="0"/>
        <w:ind w:firstLine="560"/>
        <w:jc w:val="both"/>
        <w:rPr>
          <w:kern w:val="2"/>
          <w:sz w:val="28"/>
          <w:highlight w:val="none"/>
        </w:rPr>
      </w:pPr>
      <w:r>
        <w:rPr>
          <w:rFonts w:hint="eastAsia"/>
          <w:kern w:val="2"/>
          <w:sz w:val="28"/>
          <w:highlight w:val="none"/>
        </w:rPr>
        <w:t>成立时间：</w:t>
      </w:r>
      <w:r>
        <w:rPr>
          <w:rFonts w:hint="eastAsia"/>
          <w:kern w:val="2"/>
          <w:sz w:val="28"/>
          <w:highlight w:val="none"/>
          <w:u w:val="single"/>
        </w:rPr>
        <w:t xml:space="preserve">    年   月   日</w:t>
      </w:r>
    </w:p>
    <w:p>
      <w:pPr>
        <w:pStyle w:val="13"/>
        <w:spacing w:beforeAutospacing="0" w:afterAutospacing="0"/>
        <w:ind w:firstLine="560"/>
        <w:jc w:val="both"/>
        <w:rPr>
          <w:kern w:val="2"/>
          <w:sz w:val="28"/>
          <w:highlight w:val="none"/>
          <w:u w:val="single"/>
        </w:rPr>
      </w:pPr>
      <w:r>
        <w:rPr>
          <w:rFonts w:hint="eastAsia"/>
          <w:kern w:val="2"/>
          <w:sz w:val="28"/>
          <w:highlight w:val="none"/>
        </w:rPr>
        <w:t>经营期限：</w:t>
      </w:r>
      <w:r>
        <w:rPr>
          <w:rFonts w:hint="eastAsia"/>
          <w:kern w:val="2"/>
          <w:sz w:val="28"/>
          <w:highlight w:val="none"/>
          <w:u w:val="single"/>
        </w:rPr>
        <w:t xml:space="preserve">               </w:t>
      </w:r>
    </w:p>
    <w:p>
      <w:pPr>
        <w:pStyle w:val="13"/>
        <w:spacing w:beforeAutospacing="0" w:afterAutospacing="0"/>
        <w:ind w:firstLine="560"/>
        <w:jc w:val="both"/>
        <w:rPr>
          <w:kern w:val="2"/>
          <w:sz w:val="28"/>
          <w:highlight w:val="none"/>
        </w:rPr>
      </w:pPr>
      <w:r>
        <w:rPr>
          <w:rFonts w:hint="eastAsia"/>
          <w:kern w:val="2"/>
          <w:sz w:val="28"/>
          <w:highlight w:val="none"/>
        </w:rPr>
        <w:t>姓名：</w:t>
      </w:r>
      <w:r>
        <w:rPr>
          <w:rFonts w:hint="eastAsia"/>
          <w:kern w:val="2"/>
          <w:sz w:val="28"/>
          <w:highlight w:val="none"/>
          <w:u w:val="single"/>
        </w:rPr>
        <w:t xml:space="preserve">     （签字）   性别：       年龄：      </w:t>
      </w:r>
      <w:r>
        <w:rPr>
          <w:rFonts w:hint="eastAsia"/>
          <w:kern w:val="2"/>
          <w:sz w:val="28"/>
          <w:highlight w:val="none"/>
        </w:rPr>
        <w:t xml:space="preserve"> </w:t>
      </w:r>
    </w:p>
    <w:p>
      <w:pPr>
        <w:pStyle w:val="13"/>
        <w:spacing w:beforeAutospacing="0" w:afterAutospacing="0"/>
        <w:ind w:firstLine="560"/>
        <w:jc w:val="both"/>
        <w:rPr>
          <w:kern w:val="2"/>
          <w:sz w:val="28"/>
          <w:highlight w:val="none"/>
        </w:rPr>
      </w:pPr>
      <w:r>
        <w:rPr>
          <w:rFonts w:hint="eastAsia"/>
          <w:kern w:val="2"/>
          <w:sz w:val="28"/>
          <w:highlight w:val="none"/>
        </w:rPr>
        <w:t xml:space="preserve">职务：      </w:t>
      </w:r>
    </w:p>
    <w:p>
      <w:pPr>
        <w:pStyle w:val="13"/>
        <w:spacing w:beforeAutospacing="0" w:afterAutospacing="0"/>
        <w:ind w:firstLine="560"/>
        <w:jc w:val="both"/>
        <w:rPr>
          <w:kern w:val="2"/>
          <w:sz w:val="28"/>
          <w:highlight w:val="none"/>
        </w:rPr>
      </w:pPr>
      <w:r>
        <w:rPr>
          <w:rFonts w:hint="eastAsia"/>
          <w:kern w:val="2"/>
          <w:sz w:val="28"/>
          <w:highlight w:val="none"/>
        </w:rPr>
        <w:t>系</w:t>
      </w:r>
      <w:r>
        <w:rPr>
          <w:rFonts w:hint="eastAsia"/>
          <w:kern w:val="2"/>
          <w:sz w:val="28"/>
          <w:highlight w:val="none"/>
          <w:u w:val="single"/>
        </w:rPr>
        <w:t xml:space="preserve">                       （</w:t>
      </w:r>
      <w:r>
        <w:rPr>
          <w:rFonts w:hint="eastAsia"/>
          <w:kern w:val="2"/>
          <w:sz w:val="28"/>
          <w:highlight w:val="none"/>
        </w:rPr>
        <w:t>申请人名称）的法定代表人。</w:t>
      </w:r>
    </w:p>
    <w:p>
      <w:pPr>
        <w:pStyle w:val="13"/>
        <w:spacing w:beforeAutospacing="0" w:afterAutospacing="0"/>
        <w:ind w:firstLine="560"/>
        <w:jc w:val="both"/>
        <w:rPr>
          <w:kern w:val="2"/>
          <w:sz w:val="28"/>
          <w:highlight w:val="none"/>
        </w:rPr>
      </w:pPr>
      <w:r>
        <w:rPr>
          <w:rFonts w:hint="eastAsia"/>
          <w:kern w:val="2"/>
          <w:sz w:val="28"/>
          <w:highlight w:val="none"/>
        </w:rPr>
        <w:t>特此证明。</w:t>
      </w:r>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rPr>
      </w:pPr>
      <w:r>
        <w:rPr>
          <w:rFonts w:hint="eastAsia"/>
          <w:kern w:val="2"/>
          <w:sz w:val="28"/>
          <w:highlight w:val="none"/>
        </w:rPr>
        <w:t xml:space="preserve">  后附：法定代表人身份证影印件（黑白或彩色）</w:t>
      </w:r>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rPr>
      </w:pPr>
      <w:r>
        <w:rPr>
          <w:rFonts w:hint="eastAsia"/>
          <w:kern w:val="2"/>
          <w:sz w:val="28"/>
          <w:highlight w:val="none"/>
        </w:rPr>
        <w:t>申请人：</w:t>
      </w:r>
      <w:r>
        <w:rPr>
          <w:rFonts w:hint="eastAsia"/>
          <w:kern w:val="2"/>
          <w:sz w:val="28"/>
          <w:highlight w:val="none"/>
          <w:u w:val="single"/>
        </w:rPr>
        <w:t>（全称）                    （盖单位章）</w:t>
      </w:r>
    </w:p>
    <w:p>
      <w:pPr>
        <w:pStyle w:val="13"/>
        <w:spacing w:beforeAutospacing="0" w:afterAutospacing="0"/>
        <w:ind w:firstLine="560"/>
        <w:jc w:val="both"/>
        <w:rPr>
          <w:kern w:val="2"/>
          <w:sz w:val="28"/>
          <w:highlight w:val="none"/>
        </w:rPr>
      </w:pPr>
      <w:r>
        <w:rPr>
          <w:rFonts w:hint="eastAsia"/>
          <w:kern w:val="2"/>
          <w:sz w:val="28"/>
          <w:highlight w:val="none"/>
        </w:rPr>
        <w:t>日期：</w:t>
      </w:r>
      <w:r>
        <w:rPr>
          <w:rFonts w:hint="eastAsia"/>
          <w:kern w:val="2"/>
          <w:sz w:val="28"/>
          <w:highlight w:val="none"/>
          <w:u w:val="single"/>
        </w:rPr>
        <w:t xml:space="preserve">       年   月   日</w:t>
      </w:r>
    </w:p>
    <w:p>
      <w:pPr>
        <w:pStyle w:val="13"/>
        <w:spacing w:beforeAutospacing="0" w:afterAutospacing="0"/>
        <w:ind w:firstLine="560"/>
        <w:jc w:val="both"/>
        <w:rPr>
          <w:kern w:val="2"/>
          <w:sz w:val="28"/>
          <w:highlight w:val="none"/>
        </w:rPr>
      </w:pPr>
    </w:p>
    <w:p>
      <w:pPr>
        <w:pStyle w:val="13"/>
        <w:spacing w:beforeAutospacing="0" w:afterAutospacing="0"/>
        <w:ind w:firstLine="560"/>
        <w:jc w:val="both"/>
        <w:rPr>
          <w:kern w:val="2"/>
          <w:sz w:val="28"/>
          <w:highlight w:val="none"/>
        </w:rPr>
      </w:pPr>
      <w:r>
        <w:rPr>
          <w:rFonts w:hint="eastAsia"/>
          <w:kern w:val="2"/>
          <w:sz w:val="28"/>
          <w:highlight w:val="none"/>
        </w:rPr>
        <w:t>注：如果响应文件由法定代表人亲自签署，则申请人须提交法定代表人身份证明（不需要提交授权委托书），法定代表人身份证明须满足下列要求：法定代表人的签字必须是亲笔签名，不得使用印章、签名章或其他电子制版签名代替。</w:t>
      </w:r>
    </w:p>
    <w:p>
      <w:pPr>
        <w:pStyle w:val="13"/>
        <w:spacing w:beforeAutospacing="0" w:afterAutospacing="0"/>
        <w:ind w:firstLine="560"/>
        <w:jc w:val="both"/>
        <w:rPr>
          <w:kern w:val="2"/>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3"/>
        <w:spacing w:beforeAutospacing="0" w:afterAutospacing="0"/>
        <w:ind w:firstLine="0" w:firstLineChars="0"/>
        <w:jc w:val="center"/>
        <w:rPr>
          <w:rFonts w:eastAsia="黑体"/>
          <w:kern w:val="2"/>
          <w:sz w:val="32"/>
          <w:szCs w:val="32"/>
          <w:highlight w:val="none"/>
        </w:rPr>
      </w:pPr>
      <w:r>
        <w:rPr>
          <w:rFonts w:hint="eastAsia" w:eastAsia="黑体"/>
          <w:kern w:val="2"/>
          <w:sz w:val="32"/>
          <w:szCs w:val="32"/>
          <w:highlight w:val="none"/>
        </w:rPr>
        <w:t>四、资格审查资料</w:t>
      </w:r>
    </w:p>
    <w:p>
      <w:pPr>
        <w:pStyle w:val="13"/>
        <w:spacing w:beforeAutospacing="0" w:afterAutospacing="0"/>
        <w:ind w:firstLine="0" w:firstLineChars="0"/>
        <w:jc w:val="both"/>
        <w:rPr>
          <w:kern w:val="2"/>
          <w:sz w:val="28"/>
          <w:highlight w:val="none"/>
        </w:rPr>
      </w:pPr>
      <w:r>
        <w:rPr>
          <w:rFonts w:hint="eastAsia"/>
          <w:kern w:val="2"/>
          <w:sz w:val="28"/>
          <w:highlight w:val="none"/>
        </w:rPr>
        <w:t>（一）</w:t>
      </w:r>
      <w:r>
        <w:rPr>
          <w:kern w:val="2"/>
          <w:sz w:val="28"/>
          <w:highlight w:val="none"/>
        </w:rPr>
        <w:t>申请人须为在中华人民共和国境内依法注册、具有独立法人资格，提供营业执照</w:t>
      </w:r>
      <w:r>
        <w:rPr>
          <w:rFonts w:hint="eastAsia"/>
          <w:kern w:val="2"/>
          <w:sz w:val="28"/>
          <w:highlight w:val="none"/>
        </w:rPr>
        <w:t>复印件</w:t>
      </w:r>
      <w:r>
        <w:rPr>
          <w:kern w:val="2"/>
          <w:sz w:val="28"/>
          <w:highlight w:val="none"/>
        </w:rPr>
        <w:t>。</w:t>
      </w:r>
    </w:p>
    <w:p>
      <w:pPr>
        <w:ind w:firstLine="560"/>
        <w:rPr>
          <w:sz w:val="28"/>
          <w:highlight w:val="none"/>
        </w:rPr>
      </w:pPr>
      <w:r>
        <w:rPr>
          <w:rFonts w:hint="eastAsia"/>
          <w:sz w:val="28"/>
          <w:highlight w:val="none"/>
        </w:rPr>
        <w:br w:type="page"/>
      </w:r>
    </w:p>
    <w:p>
      <w:pPr>
        <w:pStyle w:val="13"/>
        <w:spacing w:beforeAutospacing="0" w:afterAutospacing="0"/>
        <w:ind w:firstLine="0" w:firstLineChars="0"/>
        <w:jc w:val="both"/>
        <w:rPr>
          <w:kern w:val="2"/>
          <w:sz w:val="28"/>
          <w:highlight w:val="none"/>
        </w:rPr>
      </w:pPr>
      <w:r>
        <w:rPr>
          <w:rFonts w:hint="eastAsia"/>
          <w:kern w:val="2"/>
          <w:sz w:val="28"/>
          <w:highlight w:val="none"/>
        </w:rPr>
        <w:t>（二）</w:t>
      </w:r>
      <w:r>
        <w:rPr>
          <w:kern w:val="2"/>
          <w:sz w:val="28"/>
          <w:highlight w:val="none"/>
        </w:rPr>
        <w:t>具备满足本项目运输要求的道路运输经营许可，可开具9%增值税专用发票；具备至少</w:t>
      </w:r>
      <w:r>
        <w:rPr>
          <w:rFonts w:hint="eastAsia"/>
          <w:kern w:val="2"/>
          <w:sz w:val="28"/>
          <w:highlight w:val="none"/>
          <w:lang w:val="en-US" w:eastAsia="zh-CN"/>
        </w:rPr>
        <w:t>8</w:t>
      </w:r>
      <w:r>
        <w:rPr>
          <w:kern w:val="2"/>
          <w:sz w:val="28"/>
          <w:highlight w:val="none"/>
        </w:rPr>
        <w:t>辆</w:t>
      </w:r>
      <w:r>
        <w:rPr>
          <w:rFonts w:hint="eastAsia"/>
          <w:kern w:val="2"/>
          <w:sz w:val="28"/>
          <w:highlight w:val="none"/>
          <w:lang w:val="en-US" w:eastAsia="zh-CN"/>
        </w:rPr>
        <w:t>专用本项目的</w:t>
      </w:r>
      <w:r>
        <w:rPr>
          <w:kern w:val="2"/>
          <w:sz w:val="28"/>
          <w:highlight w:val="none"/>
        </w:rPr>
        <w:t>运输车辆</w:t>
      </w:r>
      <w:r>
        <w:rPr>
          <w:rFonts w:hint="eastAsia"/>
          <w:kern w:val="2"/>
          <w:sz w:val="28"/>
          <w:highlight w:val="none"/>
        </w:rPr>
        <w:t>（</w:t>
      </w:r>
      <w:r>
        <w:rPr>
          <w:kern w:val="2"/>
          <w:sz w:val="28"/>
          <w:highlight w:val="none"/>
        </w:rPr>
        <w:t>须提供</w:t>
      </w:r>
      <w:r>
        <w:rPr>
          <w:rFonts w:hint="eastAsia"/>
          <w:kern w:val="2"/>
          <w:sz w:val="28"/>
          <w:highlight w:val="none"/>
        </w:rPr>
        <w:t>申请人道路运输经营许可证、</w:t>
      </w:r>
      <w:r>
        <w:rPr>
          <w:rFonts w:hint="eastAsia"/>
          <w:kern w:val="2"/>
          <w:sz w:val="28"/>
          <w:highlight w:val="none"/>
          <w:lang w:val="en-US" w:eastAsia="zh-CN"/>
        </w:rPr>
        <w:t>车辆</w:t>
      </w:r>
      <w:r>
        <w:rPr>
          <w:kern w:val="2"/>
          <w:sz w:val="28"/>
          <w:highlight w:val="none"/>
        </w:rPr>
        <w:t>行驶证复印件</w:t>
      </w:r>
      <w:r>
        <w:rPr>
          <w:rFonts w:hint="eastAsia"/>
          <w:kern w:val="2"/>
          <w:sz w:val="28"/>
          <w:highlight w:val="none"/>
          <w:lang w:eastAsia="zh-CN"/>
        </w:rPr>
        <w:t>；</w:t>
      </w:r>
      <w:r>
        <w:rPr>
          <w:rFonts w:hint="eastAsia"/>
          <w:kern w:val="2"/>
          <w:sz w:val="28"/>
          <w:highlight w:val="none"/>
          <w:lang w:val="en-US" w:eastAsia="zh-CN"/>
        </w:rPr>
        <w:t>若非申请人自有车辆，需提供证明具备车辆使用权的意向性协议</w:t>
      </w:r>
      <w:r>
        <w:rPr>
          <w:rFonts w:hint="eastAsia"/>
          <w:kern w:val="2"/>
          <w:sz w:val="28"/>
          <w:highlight w:val="none"/>
        </w:rPr>
        <w:t>）</w:t>
      </w:r>
      <w:r>
        <w:rPr>
          <w:kern w:val="2"/>
          <w:sz w:val="28"/>
          <w:highlight w:val="none"/>
        </w:rPr>
        <w:t>；</w:t>
      </w:r>
    </w:p>
    <w:p>
      <w:pPr>
        <w:ind w:firstLine="560"/>
        <w:rPr>
          <w:sz w:val="28"/>
          <w:highlight w:val="none"/>
        </w:rPr>
      </w:pPr>
      <w:r>
        <w:rPr>
          <w:rFonts w:hint="eastAsia"/>
          <w:sz w:val="28"/>
          <w:highlight w:val="none"/>
        </w:rPr>
        <w:br w:type="page"/>
      </w:r>
    </w:p>
    <w:p>
      <w:pPr>
        <w:pStyle w:val="13"/>
        <w:spacing w:beforeAutospacing="0" w:afterAutospacing="0"/>
        <w:ind w:firstLine="0" w:firstLineChars="0"/>
        <w:jc w:val="both"/>
        <w:rPr>
          <w:kern w:val="2"/>
          <w:sz w:val="28"/>
          <w:highlight w:val="none"/>
        </w:rPr>
      </w:pPr>
      <w:r>
        <w:rPr>
          <w:rFonts w:hint="eastAsia"/>
          <w:kern w:val="2"/>
          <w:sz w:val="28"/>
          <w:highlight w:val="none"/>
        </w:rPr>
        <w:t>（三）</w:t>
      </w:r>
      <w:r>
        <w:rPr>
          <w:kern w:val="2"/>
          <w:sz w:val="28"/>
          <w:highlight w:val="none"/>
        </w:rPr>
        <w:t>申请人具有</w:t>
      </w:r>
      <w:r>
        <w:rPr>
          <w:rFonts w:hint="eastAsia"/>
          <w:kern w:val="2"/>
          <w:sz w:val="28"/>
          <w:highlight w:val="none"/>
        </w:rPr>
        <w:t>完善的财务制度</w:t>
      </w:r>
      <w:bookmarkStart w:id="38" w:name="_GoBack"/>
      <w:bookmarkEnd w:id="38"/>
      <w:r>
        <w:rPr>
          <w:rFonts w:hint="eastAsia"/>
          <w:kern w:val="2"/>
          <w:sz w:val="28"/>
          <w:highlight w:val="none"/>
        </w:rPr>
        <w:t>（</w:t>
      </w:r>
      <w:r>
        <w:rPr>
          <w:kern w:val="2"/>
          <w:sz w:val="28"/>
          <w:highlight w:val="none"/>
        </w:rPr>
        <w:t>提供近三年</w:t>
      </w:r>
      <w:r>
        <w:rPr>
          <w:rFonts w:hint="eastAsia"/>
          <w:kern w:val="2"/>
          <w:sz w:val="28"/>
          <w:highlight w:val="none"/>
        </w:rPr>
        <w:t>，</w:t>
      </w:r>
      <w:r>
        <w:rPr>
          <w:kern w:val="2"/>
          <w:sz w:val="28"/>
          <w:highlight w:val="none"/>
        </w:rPr>
        <w:t>即202</w:t>
      </w:r>
      <w:r>
        <w:rPr>
          <w:rFonts w:hint="eastAsia"/>
          <w:kern w:val="2"/>
          <w:sz w:val="28"/>
          <w:highlight w:val="none"/>
          <w:lang w:val="en-US" w:eastAsia="zh-CN"/>
        </w:rPr>
        <w:t>1</w:t>
      </w:r>
      <w:r>
        <w:rPr>
          <w:kern w:val="2"/>
          <w:sz w:val="28"/>
          <w:highlight w:val="none"/>
        </w:rPr>
        <w:t>年至202</w:t>
      </w:r>
      <w:r>
        <w:rPr>
          <w:rFonts w:hint="eastAsia"/>
          <w:kern w:val="2"/>
          <w:sz w:val="28"/>
          <w:highlight w:val="none"/>
          <w:lang w:val="en-US" w:eastAsia="zh-CN"/>
        </w:rPr>
        <w:t>3</w:t>
      </w:r>
      <w:r>
        <w:rPr>
          <w:kern w:val="2"/>
          <w:sz w:val="28"/>
          <w:highlight w:val="none"/>
        </w:rPr>
        <w:t>年的财务报表或经第三方审计机构出具的财务审计报告；成立不满三年的单位，可从成立之日所在年份起提供</w:t>
      </w:r>
      <w:r>
        <w:rPr>
          <w:rFonts w:hint="eastAsia"/>
          <w:kern w:val="2"/>
          <w:sz w:val="28"/>
          <w:highlight w:val="none"/>
        </w:rPr>
        <w:t>）</w:t>
      </w:r>
      <w:r>
        <w:rPr>
          <w:kern w:val="2"/>
          <w:sz w:val="28"/>
          <w:highlight w:val="none"/>
        </w:rPr>
        <w:t>；</w:t>
      </w:r>
    </w:p>
    <w:p>
      <w:pPr>
        <w:ind w:firstLine="560"/>
        <w:rPr>
          <w:sz w:val="28"/>
          <w:highlight w:val="none"/>
        </w:rPr>
      </w:pPr>
      <w:r>
        <w:rPr>
          <w:rFonts w:hint="eastAsia"/>
          <w:sz w:val="28"/>
          <w:highlight w:val="none"/>
        </w:rPr>
        <w:br w:type="page"/>
      </w:r>
    </w:p>
    <w:p>
      <w:pPr>
        <w:pStyle w:val="13"/>
        <w:spacing w:beforeAutospacing="0" w:afterAutospacing="0"/>
        <w:ind w:firstLine="0" w:firstLineChars="0"/>
        <w:jc w:val="both"/>
        <w:rPr>
          <w:kern w:val="2"/>
          <w:sz w:val="28"/>
          <w:highlight w:val="none"/>
        </w:rPr>
      </w:pPr>
      <w:r>
        <w:rPr>
          <w:rFonts w:hint="eastAsia"/>
          <w:kern w:val="2"/>
          <w:sz w:val="28"/>
          <w:highlight w:val="none"/>
        </w:rPr>
        <w:t>（四）</w:t>
      </w:r>
      <w:r>
        <w:rPr>
          <w:kern w:val="2"/>
          <w:sz w:val="28"/>
          <w:highlight w:val="none"/>
        </w:rPr>
        <w:t>申请人须具有近三年（即202</w:t>
      </w:r>
      <w:r>
        <w:rPr>
          <w:rFonts w:hint="eastAsia"/>
          <w:kern w:val="2"/>
          <w:sz w:val="28"/>
          <w:highlight w:val="none"/>
          <w:lang w:val="en-US" w:eastAsia="zh-CN"/>
        </w:rPr>
        <w:t>1</w:t>
      </w:r>
      <w:r>
        <w:rPr>
          <w:kern w:val="2"/>
          <w:sz w:val="28"/>
          <w:highlight w:val="none"/>
        </w:rPr>
        <w:t>年至响应截止日）的同类项目供货业绩，且业绩数量不少于</w:t>
      </w:r>
      <w:r>
        <w:rPr>
          <w:rFonts w:hint="eastAsia"/>
          <w:kern w:val="2"/>
          <w:sz w:val="28"/>
          <w:highlight w:val="none"/>
        </w:rPr>
        <w:t>一</w:t>
      </w:r>
      <w:r>
        <w:rPr>
          <w:kern w:val="2"/>
          <w:sz w:val="28"/>
          <w:highlight w:val="none"/>
        </w:rPr>
        <w:t>份（</w:t>
      </w:r>
      <w:r>
        <w:rPr>
          <w:rFonts w:hint="eastAsia"/>
          <w:kern w:val="2"/>
          <w:sz w:val="28"/>
          <w:highlight w:val="none"/>
        </w:rPr>
        <w:t>提供运输</w:t>
      </w:r>
      <w:r>
        <w:rPr>
          <w:kern w:val="2"/>
          <w:sz w:val="28"/>
          <w:highlight w:val="none"/>
        </w:rPr>
        <w:t>合同</w:t>
      </w:r>
      <w:r>
        <w:rPr>
          <w:rFonts w:hint="eastAsia"/>
          <w:kern w:val="2"/>
          <w:sz w:val="28"/>
          <w:highlight w:val="none"/>
        </w:rPr>
        <w:t>复印件和</w:t>
      </w:r>
      <w:r>
        <w:rPr>
          <w:kern w:val="2"/>
          <w:sz w:val="28"/>
          <w:highlight w:val="none"/>
        </w:rPr>
        <w:t>合同执行情况，如过程中的发运单据凭证、增值税专用发票清单等</w:t>
      </w:r>
      <w:r>
        <w:rPr>
          <w:rFonts w:hint="eastAsia"/>
          <w:kern w:val="2"/>
          <w:sz w:val="28"/>
          <w:highlight w:val="none"/>
        </w:rPr>
        <w:t>，如不提供视为无效业绩</w:t>
      </w:r>
      <w:r>
        <w:rPr>
          <w:kern w:val="2"/>
          <w:sz w:val="28"/>
          <w:highlight w:val="none"/>
        </w:rPr>
        <w:t>）；</w:t>
      </w:r>
    </w:p>
    <w:p>
      <w:pPr>
        <w:ind w:firstLine="560"/>
        <w:rPr>
          <w:sz w:val="28"/>
          <w:highlight w:val="none"/>
        </w:rPr>
      </w:pPr>
      <w:r>
        <w:rPr>
          <w:rFonts w:hint="eastAsia"/>
          <w:sz w:val="28"/>
          <w:highlight w:val="none"/>
        </w:rPr>
        <w:br w:type="page"/>
      </w:r>
    </w:p>
    <w:p>
      <w:pPr>
        <w:pStyle w:val="13"/>
        <w:spacing w:beforeAutospacing="0" w:afterAutospacing="0"/>
        <w:ind w:firstLine="0" w:firstLineChars="0"/>
        <w:jc w:val="both"/>
        <w:rPr>
          <w:kern w:val="2"/>
          <w:sz w:val="28"/>
          <w:highlight w:val="none"/>
        </w:rPr>
      </w:pPr>
      <w:r>
        <w:rPr>
          <w:rFonts w:hint="eastAsia"/>
          <w:kern w:val="2"/>
          <w:sz w:val="28"/>
          <w:highlight w:val="none"/>
        </w:rPr>
        <w:t>（五）</w:t>
      </w:r>
      <w:r>
        <w:rPr>
          <w:kern w:val="2"/>
          <w:sz w:val="28"/>
          <w:highlight w:val="none"/>
        </w:rPr>
        <w:t>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信用中国”www.creditchina.gov.cn网站查询结果为准</w:t>
      </w:r>
      <w:r>
        <w:rPr>
          <w:rFonts w:hint="eastAsia"/>
          <w:kern w:val="2"/>
          <w:sz w:val="28"/>
          <w:highlight w:val="none"/>
        </w:rPr>
        <w:t>）</w:t>
      </w:r>
      <w:r>
        <w:rPr>
          <w:kern w:val="2"/>
          <w:sz w:val="28"/>
          <w:highlight w:val="none"/>
        </w:rPr>
        <w:t>，须提供网页查询截图、信用截图或信用报告，且查询时间为本项目</w:t>
      </w:r>
      <w:r>
        <w:rPr>
          <w:rFonts w:hint="eastAsia"/>
          <w:kern w:val="2"/>
          <w:sz w:val="28"/>
          <w:highlight w:val="none"/>
        </w:rPr>
        <w:t>询价</w:t>
      </w:r>
      <w:r>
        <w:rPr>
          <w:kern w:val="2"/>
          <w:sz w:val="28"/>
          <w:highlight w:val="none"/>
        </w:rPr>
        <w:t>公告发布之日起至投标截止时间前，如相关失信记录已失效，申请人须提供相关证明资料；如无，被列入上述名单或名录的申请人报价将被否决。</w:t>
      </w:r>
    </w:p>
    <w:p>
      <w:pPr>
        <w:ind w:firstLine="560"/>
        <w:rPr>
          <w:sz w:val="28"/>
          <w:highlight w:val="none"/>
        </w:rPr>
      </w:pPr>
      <w:r>
        <w:rPr>
          <w:sz w:val="28"/>
          <w:highlight w:val="none"/>
        </w:rPr>
        <w:br w:type="page"/>
      </w:r>
    </w:p>
    <w:p>
      <w:pPr>
        <w:ind w:firstLine="0" w:firstLineChars="0"/>
        <w:rPr>
          <w:rFonts w:eastAsia="黑体"/>
          <w:szCs w:val="32"/>
          <w:highlight w:val="none"/>
        </w:rPr>
      </w:pPr>
      <w:r>
        <w:rPr>
          <w:rFonts w:hint="eastAsia" w:eastAsia="黑体"/>
          <w:szCs w:val="32"/>
          <w:highlight w:val="none"/>
        </w:rPr>
        <w:t>附件3</w:t>
      </w:r>
    </w:p>
    <w:p>
      <w:pPr>
        <w:ind w:firstLine="0" w:firstLineChars="0"/>
        <w:jc w:val="center"/>
        <w:rPr>
          <w:rFonts w:eastAsia="黑体"/>
          <w:szCs w:val="32"/>
          <w:highlight w:val="none"/>
        </w:rPr>
      </w:pPr>
      <w:r>
        <w:rPr>
          <w:rFonts w:eastAsia="黑体"/>
          <w:szCs w:val="32"/>
          <w:highlight w:val="none"/>
        </w:rPr>
        <w:t>项目开标及评审办法</w:t>
      </w:r>
    </w:p>
    <w:p>
      <w:pPr>
        <w:ind w:firstLine="562"/>
        <w:rPr>
          <w:sz w:val="28"/>
          <w:szCs w:val="28"/>
          <w:highlight w:val="none"/>
        </w:rPr>
      </w:pPr>
      <w:r>
        <w:rPr>
          <w:b/>
          <w:bCs/>
          <w:sz w:val="28"/>
          <w:szCs w:val="28"/>
          <w:highlight w:val="none"/>
        </w:rPr>
        <w:t>一、地点：</w:t>
      </w:r>
      <w:r>
        <w:rPr>
          <w:sz w:val="28"/>
          <w:szCs w:val="28"/>
          <w:highlight w:val="none"/>
        </w:rPr>
        <w:t>四川蜀物路面材料有限公司会议室。</w:t>
      </w:r>
    </w:p>
    <w:p>
      <w:pPr>
        <w:ind w:firstLine="562"/>
        <w:rPr>
          <w:rFonts w:eastAsia="宋体"/>
          <w:color w:val="000000"/>
          <w:sz w:val="24"/>
          <w:highlight w:val="none"/>
        </w:rPr>
      </w:pPr>
      <w:r>
        <w:rPr>
          <w:b/>
          <w:bCs/>
          <w:sz w:val="28"/>
          <w:szCs w:val="28"/>
          <w:highlight w:val="none"/>
        </w:rPr>
        <w:t>二、开标时间：</w:t>
      </w:r>
      <w:r>
        <w:rPr>
          <w:sz w:val="28"/>
          <w:szCs w:val="28"/>
          <w:highlight w:val="none"/>
        </w:rPr>
        <w:t>202</w:t>
      </w:r>
      <w:r>
        <w:rPr>
          <w:rFonts w:hint="eastAsia"/>
          <w:sz w:val="28"/>
          <w:szCs w:val="28"/>
          <w:highlight w:val="none"/>
          <w:lang w:val="en-US" w:eastAsia="zh-CN"/>
        </w:rPr>
        <w:t>4</w:t>
      </w:r>
      <w:r>
        <w:rPr>
          <w:sz w:val="28"/>
          <w:szCs w:val="28"/>
          <w:highlight w:val="none"/>
        </w:rPr>
        <w:t>年</w:t>
      </w:r>
      <w:r>
        <w:rPr>
          <w:rFonts w:hint="eastAsia"/>
          <w:sz w:val="28"/>
          <w:szCs w:val="28"/>
          <w:highlight w:val="none"/>
        </w:rPr>
        <w:t xml:space="preserve"> </w:t>
      </w:r>
      <w:r>
        <w:rPr>
          <w:rFonts w:hint="eastAsia"/>
          <w:sz w:val="28"/>
          <w:szCs w:val="28"/>
          <w:highlight w:val="none"/>
          <w:lang w:val="en-US" w:eastAsia="zh-CN"/>
        </w:rPr>
        <w:t>8</w:t>
      </w:r>
      <w:r>
        <w:rPr>
          <w:rFonts w:hint="eastAsia"/>
          <w:sz w:val="28"/>
          <w:szCs w:val="28"/>
          <w:highlight w:val="none"/>
        </w:rPr>
        <w:t xml:space="preserve"> </w:t>
      </w:r>
      <w:r>
        <w:rPr>
          <w:sz w:val="28"/>
          <w:szCs w:val="28"/>
          <w:highlight w:val="none"/>
        </w:rPr>
        <w:t>月</w:t>
      </w:r>
      <w:r>
        <w:rPr>
          <w:rFonts w:hint="eastAsia"/>
          <w:sz w:val="28"/>
          <w:szCs w:val="28"/>
          <w:highlight w:val="none"/>
        </w:rPr>
        <w:t xml:space="preserve"> </w:t>
      </w:r>
      <w:r>
        <w:rPr>
          <w:rFonts w:hint="eastAsia"/>
          <w:sz w:val="28"/>
          <w:szCs w:val="28"/>
          <w:highlight w:val="none"/>
          <w:lang w:val="en-US" w:eastAsia="zh-CN"/>
        </w:rPr>
        <w:t>16</w:t>
      </w:r>
      <w:r>
        <w:rPr>
          <w:rFonts w:hint="eastAsia"/>
          <w:sz w:val="28"/>
          <w:szCs w:val="28"/>
          <w:highlight w:val="none"/>
        </w:rPr>
        <w:t xml:space="preserve"> </w:t>
      </w:r>
      <w:r>
        <w:rPr>
          <w:sz w:val="28"/>
          <w:szCs w:val="28"/>
          <w:highlight w:val="none"/>
        </w:rPr>
        <w:t xml:space="preserve">日 </w:t>
      </w:r>
      <w:r>
        <w:rPr>
          <w:rFonts w:hint="eastAsia"/>
          <w:sz w:val="28"/>
          <w:szCs w:val="28"/>
          <w:highlight w:val="none"/>
        </w:rPr>
        <w:t>上</w:t>
      </w:r>
      <w:r>
        <w:rPr>
          <w:sz w:val="28"/>
          <w:szCs w:val="28"/>
          <w:highlight w:val="none"/>
        </w:rPr>
        <w:t>午</w:t>
      </w:r>
      <w:r>
        <w:rPr>
          <w:rFonts w:hint="eastAsia"/>
          <w:sz w:val="28"/>
          <w:szCs w:val="28"/>
          <w:highlight w:val="none"/>
          <w:lang w:val="en-US" w:eastAsia="zh-CN"/>
        </w:rPr>
        <w:t>9</w:t>
      </w:r>
      <w:r>
        <w:rPr>
          <w:sz w:val="28"/>
          <w:szCs w:val="28"/>
          <w:highlight w:val="none"/>
        </w:rPr>
        <w:t>:</w:t>
      </w:r>
      <w:r>
        <w:rPr>
          <w:rFonts w:hint="eastAsia"/>
          <w:sz w:val="28"/>
          <w:szCs w:val="28"/>
          <w:highlight w:val="none"/>
          <w:lang w:val="en-US" w:eastAsia="zh-CN"/>
        </w:rPr>
        <w:t>3</w:t>
      </w:r>
      <w:r>
        <w:rPr>
          <w:sz w:val="28"/>
          <w:szCs w:val="28"/>
          <w:highlight w:val="none"/>
        </w:rPr>
        <w:t>0</w:t>
      </w:r>
    </w:p>
    <w:p>
      <w:pPr>
        <w:ind w:firstLine="562"/>
        <w:rPr>
          <w:sz w:val="28"/>
          <w:szCs w:val="28"/>
          <w:highlight w:val="none"/>
        </w:rPr>
      </w:pPr>
      <w:r>
        <w:rPr>
          <w:b/>
          <w:bCs/>
          <w:sz w:val="28"/>
          <w:szCs w:val="28"/>
          <w:highlight w:val="none"/>
        </w:rPr>
        <w:t>三、评审时间</w:t>
      </w:r>
      <w:r>
        <w:rPr>
          <w:sz w:val="28"/>
          <w:szCs w:val="28"/>
          <w:highlight w:val="none"/>
        </w:rPr>
        <w:t>：开标会议结束后。</w:t>
      </w:r>
    </w:p>
    <w:p>
      <w:pPr>
        <w:ind w:firstLine="562"/>
        <w:rPr>
          <w:b/>
          <w:bCs/>
          <w:sz w:val="28"/>
          <w:szCs w:val="28"/>
          <w:highlight w:val="none"/>
        </w:rPr>
      </w:pPr>
      <w:r>
        <w:rPr>
          <w:b/>
          <w:bCs/>
          <w:sz w:val="28"/>
          <w:szCs w:val="28"/>
          <w:highlight w:val="none"/>
        </w:rPr>
        <w:t>四、评审活动由采购人依法组建的询价小组负责。</w:t>
      </w:r>
    </w:p>
    <w:p>
      <w:pPr>
        <w:ind w:firstLine="560"/>
        <w:rPr>
          <w:sz w:val="28"/>
          <w:szCs w:val="28"/>
          <w:highlight w:val="none"/>
        </w:rPr>
      </w:pPr>
      <w:r>
        <w:rPr>
          <w:sz w:val="28"/>
          <w:szCs w:val="28"/>
          <w:highlight w:val="none"/>
        </w:rPr>
        <w:t>（一）询价小组依法按照下述原则进行评审：1.客观、公平、公正、科学、择优；2.依法评审、严格保密；3.反对不正当的竞争。</w:t>
      </w:r>
    </w:p>
    <w:p>
      <w:pPr>
        <w:ind w:firstLine="560"/>
        <w:rPr>
          <w:color w:val="000000"/>
          <w:spacing w:val="-4"/>
          <w:sz w:val="28"/>
          <w:szCs w:val="28"/>
          <w:highlight w:val="none"/>
        </w:rPr>
      </w:pPr>
      <w:r>
        <w:rPr>
          <w:sz w:val="28"/>
          <w:szCs w:val="28"/>
          <w:highlight w:val="none"/>
        </w:rPr>
        <w:t>（二）评审依据</w:t>
      </w:r>
      <w:r>
        <w:rPr>
          <w:color w:val="000000"/>
          <w:spacing w:val="-4"/>
          <w:sz w:val="28"/>
          <w:szCs w:val="28"/>
          <w:highlight w:val="none"/>
        </w:rPr>
        <w:t>主要包括以下内容：国家招标投标有关法律、法规和规章；</w:t>
      </w:r>
      <w:r>
        <w:rPr>
          <w:sz w:val="28"/>
          <w:szCs w:val="28"/>
          <w:highlight w:val="none"/>
        </w:rPr>
        <w:t>四川蜀物路面材料有限公司及上级单位</w:t>
      </w:r>
      <w:r>
        <w:rPr>
          <w:color w:val="000000"/>
          <w:spacing w:val="-4"/>
          <w:sz w:val="28"/>
          <w:szCs w:val="28"/>
          <w:highlight w:val="none"/>
        </w:rPr>
        <w:t>相关规定；本项目的询价文件及评标办法。</w:t>
      </w:r>
    </w:p>
    <w:p>
      <w:pPr>
        <w:pStyle w:val="2"/>
        <w:keepNext w:val="0"/>
        <w:keepLines w:val="0"/>
        <w:ind w:firstLine="560"/>
        <w:rPr>
          <w:rFonts w:ascii="Times New Roman" w:hAnsi="Times New Roman"/>
          <w:highlight w:val="none"/>
        </w:rPr>
      </w:pPr>
      <w:r>
        <w:rPr>
          <w:rFonts w:ascii="Times New Roman" w:hAnsi="Times New Roman"/>
          <w:highlight w:val="none"/>
        </w:rPr>
        <w:t>1.询价基本原则：询价工作应依据国家、地方政府有关询价的规定和四川蜀物路面材料有限公司及上级单位管理规定，遵循“公开、公平、公正、择优、信用”的原则进行。</w:t>
      </w:r>
    </w:p>
    <w:p>
      <w:pPr>
        <w:pStyle w:val="2"/>
        <w:keepNext w:val="0"/>
        <w:keepLines w:val="0"/>
        <w:ind w:firstLine="56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评审</w:t>
      </w:r>
      <w:r>
        <w:rPr>
          <w:rFonts w:ascii="Times New Roman" w:hAnsi="Times New Roman"/>
          <w:highlight w:val="none"/>
        </w:rPr>
        <w:t>依据：依据主要法律、法规及资料文件</w:t>
      </w:r>
      <w:r>
        <w:rPr>
          <w:rFonts w:hint="eastAsia" w:ascii="Times New Roman" w:hAnsi="Times New Roman"/>
          <w:highlight w:val="none"/>
        </w:rPr>
        <w:t>以及响应文件</w:t>
      </w:r>
      <w:r>
        <w:rPr>
          <w:rFonts w:ascii="Times New Roman" w:hAnsi="Times New Roman"/>
          <w:highlight w:val="none"/>
        </w:rPr>
        <w:t>包括但不限于：</w:t>
      </w:r>
    </w:p>
    <w:p>
      <w:pPr>
        <w:pStyle w:val="2"/>
        <w:keepNext w:val="0"/>
        <w:keepLines w:val="0"/>
        <w:ind w:firstLine="560"/>
        <w:rPr>
          <w:rFonts w:ascii="Times New Roman" w:hAnsi="Times New Roman"/>
          <w:highlight w:val="none"/>
        </w:rPr>
      </w:pPr>
      <w:r>
        <w:rPr>
          <w:rFonts w:ascii="Times New Roman" w:hAnsi="Times New Roman"/>
          <w:highlight w:val="none"/>
        </w:rPr>
        <w:t>（1）报价函；</w:t>
      </w:r>
    </w:p>
    <w:p>
      <w:pPr>
        <w:pStyle w:val="2"/>
        <w:keepNext w:val="0"/>
        <w:keepLines w:val="0"/>
        <w:ind w:firstLine="560"/>
        <w:rPr>
          <w:rFonts w:ascii="Times New Roman" w:hAnsi="Times New Roman"/>
          <w:highlight w:val="none"/>
        </w:rPr>
      </w:pPr>
      <w:r>
        <w:rPr>
          <w:rFonts w:ascii="Times New Roman" w:hAnsi="Times New Roman"/>
          <w:highlight w:val="none"/>
        </w:rPr>
        <w:t>（2）法定代表人授权委托书；</w:t>
      </w:r>
    </w:p>
    <w:p>
      <w:pPr>
        <w:pStyle w:val="2"/>
        <w:keepNext w:val="0"/>
        <w:keepLines w:val="0"/>
        <w:ind w:firstLine="560"/>
        <w:rPr>
          <w:rFonts w:ascii="Times New Roman" w:hAnsi="Times New Roman"/>
          <w:highlight w:val="none"/>
        </w:rPr>
      </w:pPr>
      <w:r>
        <w:rPr>
          <w:rFonts w:ascii="Times New Roman" w:hAnsi="Times New Roman"/>
          <w:highlight w:val="none"/>
        </w:rPr>
        <w:t>（3）资格评审对应文件（营业执照、类似业绩、企业信誉</w:t>
      </w:r>
      <w:r>
        <w:rPr>
          <w:rFonts w:hint="eastAsia" w:ascii="Times New Roman" w:hAnsi="Times New Roman"/>
          <w:highlight w:val="none"/>
        </w:rPr>
        <w:t>等</w:t>
      </w:r>
      <w:r>
        <w:rPr>
          <w:rFonts w:ascii="Times New Roman" w:hAnsi="Times New Roman"/>
          <w:highlight w:val="none"/>
        </w:rPr>
        <w:t>）；</w:t>
      </w:r>
    </w:p>
    <w:p>
      <w:pPr>
        <w:pStyle w:val="2"/>
        <w:keepNext w:val="0"/>
        <w:keepLines w:val="0"/>
        <w:ind w:firstLine="560"/>
        <w:rPr>
          <w:rFonts w:ascii="Times New Roman" w:hAnsi="Times New Roman"/>
          <w:highlight w:val="none"/>
        </w:rPr>
      </w:pPr>
      <w:r>
        <w:rPr>
          <w:rFonts w:ascii="Times New Roman" w:hAnsi="Times New Roman"/>
          <w:highlight w:val="none"/>
        </w:rPr>
        <w:t>（4）其他能证明公司实力相关文件及说明。</w:t>
      </w:r>
    </w:p>
    <w:p>
      <w:pPr>
        <w:pStyle w:val="2"/>
        <w:keepNext w:val="0"/>
        <w:keepLines w:val="0"/>
        <w:ind w:firstLine="56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评审</w:t>
      </w:r>
      <w:r>
        <w:rPr>
          <w:rFonts w:ascii="Times New Roman" w:hAnsi="Times New Roman"/>
          <w:highlight w:val="none"/>
        </w:rPr>
        <w:t>办法：本次询价采用“经评审的最低价中选法”。申请人按照报价函要求的格式进行报价，最终以通过评审的综合报价最低者作为中选候选人。</w:t>
      </w:r>
    </w:p>
    <w:p>
      <w:pPr>
        <w:pStyle w:val="2"/>
        <w:keepNext w:val="0"/>
        <w:keepLines w:val="0"/>
        <w:ind w:firstLine="560"/>
        <w:rPr>
          <w:rFonts w:ascii="Times New Roman" w:hAnsi="Times New Roman"/>
          <w:highlight w:val="none"/>
        </w:rPr>
      </w:pPr>
      <w:r>
        <w:rPr>
          <w:rFonts w:ascii="Times New Roman" w:hAnsi="Times New Roman"/>
          <w:highlight w:val="none"/>
        </w:rPr>
        <w:t>4.询价小组在询价过程中必须按照本询价文件规定的评标标准和方法，本着严肃、客观、公正的态度对</w:t>
      </w:r>
      <w:r>
        <w:rPr>
          <w:rFonts w:hint="eastAsia" w:ascii="Times New Roman" w:hAnsi="Times New Roman"/>
          <w:highlight w:val="none"/>
        </w:rPr>
        <w:t>响应</w:t>
      </w:r>
      <w:r>
        <w:rPr>
          <w:rFonts w:ascii="Times New Roman" w:hAnsi="Times New Roman"/>
          <w:highlight w:val="none"/>
        </w:rPr>
        <w:t>文件的内容进行评审，任何人不得干预询价小组成员的评分权利和评选决定。</w:t>
      </w:r>
    </w:p>
    <w:p>
      <w:pPr>
        <w:pStyle w:val="2"/>
        <w:keepNext w:val="0"/>
        <w:keepLines w:val="0"/>
        <w:ind w:firstLine="560"/>
        <w:rPr>
          <w:rFonts w:ascii="Times New Roman" w:hAnsi="Times New Roman"/>
          <w:highlight w:val="none"/>
        </w:rPr>
      </w:pPr>
      <w:r>
        <w:rPr>
          <w:rFonts w:ascii="Times New Roman" w:hAnsi="Times New Roman"/>
          <w:highlight w:val="none"/>
        </w:rPr>
        <w:t>5.完成评审后，选取报价最低的</w:t>
      </w:r>
      <w:r>
        <w:rPr>
          <w:rFonts w:hint="eastAsia" w:ascii="Times New Roman" w:hAnsi="Times New Roman"/>
          <w:highlight w:val="none"/>
        </w:rPr>
        <w:t>申请人</w:t>
      </w:r>
      <w:r>
        <w:rPr>
          <w:rFonts w:ascii="Times New Roman" w:hAnsi="Times New Roman"/>
          <w:highlight w:val="none"/>
        </w:rPr>
        <w:t>为第一中选候选人。询价过程中通过评审的申请人如果出现最低价相</w:t>
      </w:r>
      <w:r>
        <w:rPr>
          <w:rFonts w:ascii="Times New Roman" w:hAnsi="Times New Roman" w:cs="Times New Roman"/>
          <w:highlight w:val="none"/>
        </w:rPr>
        <w:t>等的情况，</w:t>
      </w:r>
      <w:r>
        <w:rPr>
          <w:rFonts w:hint="default" w:ascii="Times New Roman" w:hAnsi="Times New Roman" w:eastAsia="仿宋_GB2312" w:cs="Times New Roman"/>
          <w:b w:val="0"/>
          <w:bCs w:val="0"/>
          <w:spacing w:val="0"/>
          <w:kern w:val="2"/>
          <w:sz w:val="28"/>
          <w:szCs w:val="24"/>
          <w:highlight w:val="none"/>
          <w:lang w:val="en-US" w:eastAsia="zh-CN" w:bidi="ar"/>
        </w:rPr>
        <w:t>优先推荐提供沥青运输车辆数量多的申请人；沥青运输车辆仍相同的，推荐上一年度财报净利润额高的申请人；净利润额相同的，由询价小组组织申请人开展二轮报价研究处理。</w:t>
      </w:r>
    </w:p>
    <w:p>
      <w:pPr>
        <w:pStyle w:val="2"/>
        <w:keepNext w:val="0"/>
        <w:keepLines w:val="0"/>
        <w:ind w:firstLine="560"/>
        <w:rPr>
          <w:rFonts w:ascii="Times New Roman" w:hAnsi="Times New Roman"/>
          <w:highlight w:val="none"/>
        </w:rPr>
      </w:pPr>
      <w:r>
        <w:rPr>
          <w:rFonts w:ascii="Times New Roman" w:hAnsi="Times New Roman"/>
          <w:highlight w:val="none"/>
        </w:rPr>
        <w:t>6.询价程序</w:t>
      </w:r>
    </w:p>
    <w:p>
      <w:pPr>
        <w:pStyle w:val="2"/>
        <w:keepNext w:val="0"/>
        <w:keepLines w:val="0"/>
        <w:ind w:firstLine="560"/>
        <w:rPr>
          <w:rFonts w:ascii="Times New Roman" w:hAnsi="Times New Roman"/>
          <w:highlight w:val="none"/>
        </w:rPr>
      </w:pPr>
      <w:r>
        <w:rPr>
          <w:rFonts w:ascii="Times New Roman" w:hAnsi="Times New Roman"/>
          <w:highlight w:val="none"/>
        </w:rPr>
        <w:t>（1）公开渠道发布《询价公告》；</w:t>
      </w:r>
    </w:p>
    <w:p>
      <w:pPr>
        <w:pStyle w:val="2"/>
        <w:keepNext w:val="0"/>
        <w:keepLines w:val="0"/>
        <w:ind w:firstLine="560"/>
        <w:rPr>
          <w:rFonts w:ascii="Times New Roman" w:hAnsi="Times New Roman"/>
          <w:highlight w:val="none"/>
        </w:rPr>
      </w:pPr>
      <w:r>
        <w:rPr>
          <w:rFonts w:ascii="Times New Roman" w:hAnsi="Times New Roman"/>
          <w:highlight w:val="none"/>
        </w:rPr>
        <w:t>（2）组建询价小组；</w:t>
      </w:r>
    </w:p>
    <w:p>
      <w:pPr>
        <w:pStyle w:val="2"/>
        <w:keepNext w:val="0"/>
        <w:keepLines w:val="0"/>
        <w:ind w:firstLine="560"/>
        <w:rPr>
          <w:rFonts w:ascii="Times New Roman" w:hAnsi="Times New Roman"/>
          <w:highlight w:val="none"/>
        </w:rPr>
      </w:pPr>
      <w:r>
        <w:rPr>
          <w:rFonts w:ascii="Times New Roman" w:hAnsi="Times New Roman"/>
          <w:highlight w:val="none"/>
        </w:rPr>
        <w:t>（3）召开开标会议并组织评审；</w:t>
      </w:r>
    </w:p>
    <w:p>
      <w:pPr>
        <w:pStyle w:val="2"/>
        <w:keepNext w:val="0"/>
        <w:keepLines w:val="0"/>
        <w:ind w:firstLine="560"/>
        <w:rPr>
          <w:rFonts w:ascii="Times New Roman" w:hAnsi="Times New Roman"/>
          <w:highlight w:val="none"/>
        </w:rPr>
      </w:pPr>
      <w:r>
        <w:rPr>
          <w:rFonts w:ascii="Times New Roman" w:hAnsi="Times New Roman"/>
          <w:highlight w:val="none"/>
        </w:rPr>
        <w:t xml:space="preserve">（4）对响应文件进行符合性审查； </w:t>
      </w:r>
    </w:p>
    <w:p>
      <w:pPr>
        <w:pStyle w:val="2"/>
        <w:keepNext w:val="0"/>
        <w:keepLines w:val="0"/>
        <w:ind w:firstLine="560"/>
        <w:rPr>
          <w:rFonts w:ascii="Times New Roman" w:hAnsi="Times New Roman"/>
          <w:highlight w:val="none"/>
        </w:rPr>
      </w:pPr>
      <w:r>
        <w:rPr>
          <w:rFonts w:ascii="Times New Roman" w:hAnsi="Times New Roman"/>
          <w:highlight w:val="none"/>
        </w:rPr>
        <w:t>（5）选定中选候选人；</w:t>
      </w:r>
    </w:p>
    <w:p>
      <w:pPr>
        <w:pStyle w:val="2"/>
        <w:keepNext w:val="0"/>
        <w:keepLines w:val="0"/>
        <w:ind w:firstLine="560"/>
        <w:rPr>
          <w:rFonts w:ascii="Times New Roman" w:hAnsi="Times New Roman"/>
          <w:highlight w:val="none"/>
        </w:rPr>
      </w:pPr>
      <w:r>
        <w:rPr>
          <w:rFonts w:ascii="Times New Roman" w:hAnsi="Times New Roman"/>
          <w:highlight w:val="none"/>
        </w:rPr>
        <w:t>（6）对中选结果进行公示；</w:t>
      </w:r>
    </w:p>
    <w:p>
      <w:pPr>
        <w:pStyle w:val="2"/>
        <w:keepNext w:val="0"/>
        <w:keepLines w:val="0"/>
        <w:ind w:firstLine="560"/>
        <w:rPr>
          <w:rFonts w:ascii="Times New Roman" w:hAnsi="Times New Roman"/>
          <w:highlight w:val="none"/>
        </w:rPr>
      </w:pPr>
      <w:r>
        <w:rPr>
          <w:rFonts w:ascii="Times New Roman" w:hAnsi="Times New Roman"/>
          <w:highlight w:val="none"/>
        </w:rPr>
        <w:t>（7）发送中选通知书；</w:t>
      </w:r>
    </w:p>
    <w:p>
      <w:pPr>
        <w:pStyle w:val="2"/>
        <w:keepNext w:val="0"/>
        <w:keepLines w:val="0"/>
        <w:ind w:firstLine="560"/>
        <w:rPr>
          <w:rFonts w:ascii="Times New Roman" w:hAnsi="Times New Roman"/>
          <w:highlight w:val="none"/>
        </w:rPr>
      </w:pPr>
      <w:r>
        <w:rPr>
          <w:rFonts w:ascii="Times New Roman" w:hAnsi="Times New Roman"/>
          <w:highlight w:val="none"/>
        </w:rPr>
        <w:t>（8）签署合同。</w:t>
      </w:r>
    </w:p>
    <w:p>
      <w:pPr>
        <w:pStyle w:val="2"/>
        <w:keepNext w:val="0"/>
        <w:keepLines w:val="0"/>
        <w:ind w:firstLine="560"/>
        <w:rPr>
          <w:rFonts w:ascii="Times New Roman" w:hAnsi="Times New Roman"/>
          <w:highlight w:val="none"/>
        </w:rPr>
      </w:pPr>
      <w:r>
        <w:rPr>
          <w:rFonts w:ascii="Times New Roman" w:hAnsi="Times New Roman"/>
          <w:highlight w:val="none"/>
        </w:rPr>
        <w:t>询价程序必须依照上述步骤进行，上一步骤不能通过者不能进入下一步评审。</w:t>
      </w:r>
    </w:p>
    <w:p>
      <w:pPr>
        <w:pStyle w:val="2"/>
        <w:keepNext w:val="0"/>
        <w:keepLines w:val="0"/>
        <w:ind w:firstLine="560"/>
        <w:rPr>
          <w:rFonts w:ascii="Times New Roman" w:hAnsi="Times New Roman"/>
          <w:highlight w:val="none"/>
        </w:rPr>
      </w:pPr>
      <w:r>
        <w:rPr>
          <w:rFonts w:ascii="Times New Roman" w:hAnsi="Times New Roman"/>
          <w:highlight w:val="none"/>
        </w:rPr>
        <w:t>7.投标价格的修正原则</w:t>
      </w:r>
    </w:p>
    <w:p>
      <w:pPr>
        <w:pStyle w:val="2"/>
        <w:keepNext w:val="0"/>
        <w:keepLines w:val="0"/>
        <w:ind w:firstLine="560"/>
        <w:rPr>
          <w:rFonts w:ascii="Times New Roman" w:hAnsi="Times New Roman"/>
          <w:highlight w:val="none"/>
        </w:rPr>
      </w:pPr>
      <w:r>
        <w:rPr>
          <w:rFonts w:ascii="Times New Roman" w:hAnsi="Times New Roman"/>
          <w:highlight w:val="none"/>
        </w:rPr>
        <w:t>（1）投标报价时出现计算上或累加上的算术错误，修正错误的原则如下：若用数字表示的金额和用文字表示的金额不一致时，以文字表示的金额为准；当项目单价与数量的乘积与总价不一致时，以单价为准，并修正总价。</w:t>
      </w:r>
    </w:p>
    <w:p>
      <w:pPr>
        <w:pStyle w:val="2"/>
        <w:keepNext w:val="0"/>
        <w:keepLines w:val="0"/>
        <w:ind w:firstLine="560"/>
        <w:rPr>
          <w:rFonts w:ascii="Times New Roman" w:hAnsi="Times New Roman"/>
          <w:highlight w:val="none"/>
        </w:rPr>
      </w:pPr>
      <w:r>
        <w:rPr>
          <w:rFonts w:ascii="Times New Roman" w:hAnsi="Times New Roman"/>
          <w:highlight w:val="none"/>
        </w:rPr>
        <w:t>（2）询价小组将按上述修正错误的方法调整询价文件中的投标报价，调整后的价格对申请人具有约束力。如果申请人不接受修正后的价格，则其投标将被拒绝。</w:t>
      </w:r>
    </w:p>
    <w:p>
      <w:pPr>
        <w:pStyle w:val="2"/>
        <w:keepNext w:val="0"/>
        <w:keepLines w:val="0"/>
        <w:ind w:firstLine="560"/>
        <w:rPr>
          <w:rFonts w:hint="default" w:ascii="Times New Roman" w:hAnsi="Times New Roman" w:eastAsia="仿宋_GB2312"/>
          <w:highlight w:val="none"/>
          <w:lang w:val="en-US" w:eastAsia="zh-CN"/>
        </w:rPr>
      </w:pPr>
      <w:r>
        <w:rPr>
          <w:rFonts w:ascii="Times New Roman" w:hAnsi="Times New Roman"/>
          <w:highlight w:val="none"/>
        </w:rPr>
        <w:t>8.询价文件评分表</w:t>
      </w:r>
      <w:r>
        <w:rPr>
          <w:rFonts w:hint="eastAsia" w:ascii="Times New Roman" w:hAnsi="Times New Roman"/>
          <w:highlight w:val="none"/>
          <w:lang w:eastAsia="zh-CN"/>
        </w:rPr>
        <w:t>：</w:t>
      </w:r>
      <w:r>
        <w:rPr>
          <w:rFonts w:hint="eastAsia" w:ascii="Times New Roman" w:hAnsi="Times New Roman"/>
          <w:highlight w:val="none"/>
          <w:lang w:val="en-US" w:eastAsia="zh-CN"/>
        </w:rPr>
        <w:t>采购人自拟。</w:t>
      </w:r>
    </w:p>
    <w:p>
      <w:pPr>
        <w:pStyle w:val="2"/>
        <w:keepNext w:val="0"/>
        <w:keepLines w:val="0"/>
        <w:ind w:firstLine="560"/>
        <w:rPr>
          <w:rFonts w:ascii="Times New Roman" w:hAnsi="Times New Roman"/>
          <w:highlight w:val="none"/>
        </w:rPr>
      </w:pPr>
      <w:r>
        <w:rPr>
          <w:rFonts w:ascii="Times New Roman" w:hAnsi="Times New Roman"/>
          <w:highlight w:val="none"/>
        </w:rPr>
        <w:t>9.澄清</w:t>
      </w:r>
    </w:p>
    <w:p>
      <w:pPr>
        <w:pStyle w:val="2"/>
        <w:keepNext w:val="0"/>
        <w:keepLines w:val="0"/>
        <w:ind w:firstLine="560"/>
        <w:rPr>
          <w:rFonts w:ascii="Times New Roman" w:hAnsi="Times New Roman"/>
          <w:highlight w:val="none"/>
        </w:rPr>
      </w:pPr>
      <w:r>
        <w:rPr>
          <w:rFonts w:ascii="Times New Roman" w:hAnsi="Times New Roman"/>
          <w:highlight w:val="none"/>
        </w:rPr>
        <w:t>（1）如需采购人对商务文件中的有关内容作必要的澄清或者补正，申请人需以书面方式提出要求</w:t>
      </w:r>
      <w:r>
        <w:rPr>
          <w:rFonts w:hint="eastAsia" w:ascii="Times New Roman" w:hAnsi="Times New Roman"/>
          <w:highlight w:val="none"/>
        </w:rPr>
        <w:t>，提交至采购人指定邮箱</w:t>
      </w:r>
      <w:r>
        <w:rPr>
          <w:rFonts w:ascii="Times New Roman" w:hAnsi="Times New Roman"/>
          <w:highlight w:val="none"/>
        </w:rPr>
        <w:t>swlmgs01@163.com。对此，</w:t>
      </w:r>
      <w:r>
        <w:rPr>
          <w:rFonts w:hint="eastAsia" w:ascii="Times New Roman" w:hAnsi="Times New Roman"/>
          <w:highlight w:val="none"/>
        </w:rPr>
        <w:t>采购</w:t>
      </w:r>
      <w:r>
        <w:rPr>
          <w:rFonts w:ascii="Times New Roman" w:hAnsi="Times New Roman"/>
          <w:highlight w:val="none"/>
        </w:rPr>
        <w:t>人不得拒绝。澄清或者补正应以书面方式进行并不得超出询价文件的范围或者改变</w:t>
      </w:r>
      <w:r>
        <w:rPr>
          <w:rFonts w:hint="eastAsia" w:ascii="Times New Roman" w:hAnsi="Times New Roman"/>
          <w:highlight w:val="none"/>
        </w:rPr>
        <w:t>询价</w:t>
      </w:r>
      <w:r>
        <w:rPr>
          <w:rFonts w:ascii="Times New Roman" w:hAnsi="Times New Roman"/>
          <w:highlight w:val="none"/>
        </w:rPr>
        <w:t>文件的实质性内容。采购人的澄清或补正内容将作为询价文件的组成部分。</w:t>
      </w:r>
    </w:p>
    <w:p>
      <w:pPr>
        <w:pStyle w:val="2"/>
        <w:keepNext w:val="0"/>
        <w:keepLines w:val="0"/>
        <w:ind w:firstLine="560"/>
        <w:rPr>
          <w:rFonts w:ascii="Times New Roman" w:hAnsi="Times New Roman"/>
          <w:highlight w:val="none"/>
        </w:rPr>
      </w:pPr>
      <w:r>
        <w:rPr>
          <w:rFonts w:ascii="Times New Roman" w:hAnsi="Times New Roman"/>
          <w:highlight w:val="none"/>
        </w:rPr>
        <w:t>（2）在询价阶段，采购人将保持联系方式有效。其联系电话全天候开通（包括节假日）。</w:t>
      </w:r>
    </w:p>
    <w:p>
      <w:pPr>
        <w:pStyle w:val="2"/>
        <w:keepNext w:val="0"/>
        <w:keepLines w:val="0"/>
        <w:ind w:firstLine="560"/>
        <w:rPr>
          <w:rFonts w:ascii="Times New Roman" w:hAnsi="Times New Roman"/>
          <w:highlight w:val="none"/>
        </w:rPr>
      </w:pPr>
      <w:r>
        <w:rPr>
          <w:rFonts w:ascii="Times New Roman" w:hAnsi="Times New Roman"/>
          <w:highlight w:val="none"/>
        </w:rPr>
        <w:t>（3）评审过程中，申请人拒不按照询价小组的要求对响应文件进行澄清或者补正的，申请人的响应文件将被否决。</w:t>
      </w:r>
    </w:p>
    <w:p>
      <w:pPr>
        <w:pStyle w:val="2"/>
        <w:keepNext w:val="0"/>
        <w:keepLines w:val="0"/>
        <w:ind w:firstLine="560"/>
        <w:rPr>
          <w:rFonts w:ascii="Times New Roman" w:hAnsi="Times New Roman"/>
          <w:highlight w:val="none"/>
        </w:rPr>
      </w:pPr>
      <w:r>
        <w:rPr>
          <w:rFonts w:ascii="Times New Roman" w:hAnsi="Times New Roman"/>
          <w:highlight w:val="none"/>
        </w:rPr>
        <w:t>10.选定中选候选人</w:t>
      </w:r>
    </w:p>
    <w:p>
      <w:pPr>
        <w:pStyle w:val="2"/>
        <w:keepNext w:val="0"/>
        <w:keepLines w:val="0"/>
        <w:ind w:firstLine="560"/>
        <w:rPr>
          <w:rFonts w:ascii="Times New Roman" w:hAnsi="Times New Roman"/>
          <w:highlight w:val="none"/>
        </w:rPr>
      </w:pPr>
      <w:r>
        <w:rPr>
          <w:rFonts w:ascii="Times New Roman" w:hAnsi="Times New Roman"/>
          <w:highlight w:val="none"/>
        </w:rPr>
        <w:t>根据上述评审原则对询价文件进行评审，通过评审的报价文件综合报价最低者，将被推荐为第一中选候选人。</w:t>
      </w:r>
    </w:p>
    <w:p>
      <w:pPr>
        <w:pStyle w:val="2"/>
        <w:keepNext w:val="0"/>
        <w:keepLines w:val="0"/>
        <w:ind w:firstLine="560"/>
        <w:rPr>
          <w:rFonts w:ascii="Times New Roman" w:hAnsi="Times New Roman"/>
          <w:highlight w:val="none"/>
        </w:rPr>
      </w:pPr>
      <w:r>
        <w:rPr>
          <w:rFonts w:ascii="Times New Roman" w:hAnsi="Times New Roman"/>
          <w:highlight w:val="none"/>
        </w:rPr>
        <w:t>（1）如果推荐的第一中选候选人放弃中选，则按推荐的中选候选人排名顺序依次确定中</w:t>
      </w:r>
      <w:r>
        <w:rPr>
          <w:rFonts w:hint="eastAsia" w:ascii="Times New Roman" w:hAnsi="Times New Roman"/>
          <w:highlight w:val="none"/>
        </w:rPr>
        <w:t>选候选</w:t>
      </w:r>
      <w:r>
        <w:rPr>
          <w:rFonts w:ascii="Times New Roman" w:hAnsi="Times New Roman"/>
          <w:highlight w:val="none"/>
        </w:rPr>
        <w:t>选人。</w:t>
      </w:r>
    </w:p>
    <w:p>
      <w:pPr>
        <w:pStyle w:val="2"/>
        <w:keepNext w:val="0"/>
        <w:keepLines w:val="0"/>
        <w:ind w:firstLine="560"/>
        <w:rPr>
          <w:rFonts w:ascii="Times New Roman" w:hAnsi="Times New Roman"/>
          <w:highlight w:val="none"/>
        </w:rPr>
      </w:pPr>
      <w:r>
        <w:rPr>
          <w:rFonts w:ascii="Times New Roman" w:hAnsi="Times New Roman"/>
          <w:highlight w:val="none"/>
        </w:rPr>
        <w:t>（2）中选人的中选价为通过了评审、澄清补正及进行价格谈判（如有）</w:t>
      </w:r>
      <w:r>
        <w:rPr>
          <w:rFonts w:hint="eastAsia" w:ascii="Times New Roman" w:hAnsi="Times New Roman"/>
          <w:highlight w:val="none"/>
          <w:lang w:eastAsia="zh-CN"/>
        </w:rPr>
        <w:t>，</w:t>
      </w:r>
      <w:r>
        <w:rPr>
          <w:rFonts w:hint="eastAsia" w:ascii="Times New Roman" w:hAnsi="Times New Roman"/>
          <w:highlight w:val="none"/>
          <w:lang w:val="en-US" w:eastAsia="zh-CN"/>
        </w:rPr>
        <w:t>以</w:t>
      </w:r>
      <w:r>
        <w:rPr>
          <w:rFonts w:ascii="Times New Roman" w:hAnsi="Times New Roman"/>
          <w:highlight w:val="none"/>
        </w:rPr>
        <w:t>经采购人确认的投标报价</w:t>
      </w:r>
      <w:r>
        <w:rPr>
          <w:rFonts w:hint="eastAsia" w:ascii="Times New Roman" w:hAnsi="Times New Roman"/>
          <w:highlight w:val="none"/>
          <w:lang w:val="en-US" w:eastAsia="zh-CN"/>
        </w:rPr>
        <w:t>为准</w:t>
      </w:r>
      <w:r>
        <w:rPr>
          <w:rFonts w:ascii="Times New Roman" w:hAnsi="Times New Roman"/>
          <w:highlight w:val="none"/>
        </w:rPr>
        <w:t>。</w:t>
      </w:r>
    </w:p>
    <w:p>
      <w:pPr>
        <w:pStyle w:val="2"/>
        <w:keepNext w:val="0"/>
        <w:keepLines w:val="0"/>
        <w:ind w:firstLine="560"/>
        <w:rPr>
          <w:rFonts w:ascii="Times New Roman" w:hAnsi="Times New Roman"/>
          <w:highlight w:val="none"/>
        </w:rPr>
      </w:pPr>
      <w:r>
        <w:rPr>
          <w:rFonts w:ascii="Times New Roman" w:hAnsi="Times New Roman"/>
          <w:highlight w:val="none"/>
        </w:rPr>
        <w:t>（3）如有例外情况，由询价小组研究处理。</w:t>
      </w:r>
    </w:p>
    <w:p>
      <w:pPr>
        <w:ind w:firstLine="562"/>
        <w:rPr>
          <w:b/>
          <w:bCs/>
          <w:sz w:val="28"/>
          <w:szCs w:val="28"/>
          <w:highlight w:val="none"/>
        </w:rPr>
      </w:pPr>
      <w:r>
        <w:rPr>
          <w:b/>
          <w:bCs/>
          <w:sz w:val="28"/>
          <w:szCs w:val="28"/>
          <w:highlight w:val="none"/>
        </w:rPr>
        <w:t>五、评审工作原则和纪律</w:t>
      </w:r>
    </w:p>
    <w:p>
      <w:pPr>
        <w:ind w:firstLine="560"/>
        <w:rPr>
          <w:sz w:val="28"/>
          <w:szCs w:val="28"/>
          <w:highlight w:val="none"/>
        </w:rPr>
      </w:pPr>
      <w:r>
        <w:rPr>
          <w:sz w:val="28"/>
          <w:szCs w:val="28"/>
          <w:highlight w:val="none"/>
        </w:rPr>
        <w:t>（一）参加评审活动的所有人员（包括询价小组成员、监督人员、采购人的工作人员）不得透漏对响应文件的评审和比较、</w:t>
      </w:r>
      <w:r>
        <w:rPr>
          <w:rFonts w:hint="eastAsia"/>
          <w:sz w:val="28"/>
          <w:szCs w:val="28"/>
          <w:highlight w:val="none"/>
        </w:rPr>
        <w:t>中选</w:t>
      </w:r>
      <w:r>
        <w:rPr>
          <w:sz w:val="28"/>
          <w:szCs w:val="28"/>
          <w:highlight w:val="none"/>
        </w:rPr>
        <w:t>候选人的推荐情况以及与评审有关的其他情况。</w:t>
      </w:r>
    </w:p>
    <w:p>
      <w:pPr>
        <w:ind w:firstLine="560"/>
        <w:rPr>
          <w:sz w:val="28"/>
          <w:szCs w:val="28"/>
          <w:highlight w:val="none"/>
        </w:rPr>
      </w:pPr>
      <w:r>
        <w:rPr>
          <w:sz w:val="28"/>
          <w:szCs w:val="28"/>
          <w:highlight w:val="none"/>
        </w:rPr>
        <w:t>（二）询价小组成员应当客观、公正地履行职责，遵守职业道德，依法对响应文件进行独立评审，提出评审意见，对所提出的评审意见承担个人责任，不受任何单位和个人的非法干预或影响。</w:t>
      </w:r>
    </w:p>
    <w:p>
      <w:pPr>
        <w:ind w:firstLine="560"/>
        <w:rPr>
          <w:sz w:val="28"/>
          <w:szCs w:val="28"/>
          <w:highlight w:val="none"/>
        </w:rPr>
      </w:pPr>
      <w:r>
        <w:rPr>
          <w:sz w:val="28"/>
          <w:szCs w:val="28"/>
          <w:highlight w:val="none"/>
        </w:rPr>
        <w:t>（三）询价小组成员不得对其他评委的评审意见施加影响，不得将询价文件带离评审地点评审，不得无故中途退出评审，不得复印、带走与评审有关的资料。</w:t>
      </w:r>
    </w:p>
    <w:p>
      <w:pPr>
        <w:ind w:firstLine="560"/>
        <w:rPr>
          <w:sz w:val="28"/>
          <w:szCs w:val="28"/>
          <w:highlight w:val="none"/>
        </w:rPr>
      </w:pPr>
      <w:r>
        <w:rPr>
          <w:sz w:val="28"/>
          <w:szCs w:val="28"/>
          <w:highlight w:val="none"/>
        </w:rPr>
        <w:t>（四）询价小组成员不得与任何申请人或者与成交结果有利害关系人进行私下接触，不得收受申请人、中介人、其他利害关系人的财物或者其他好处。</w:t>
      </w:r>
    </w:p>
    <w:p>
      <w:pPr>
        <w:ind w:firstLine="560"/>
        <w:rPr>
          <w:sz w:val="28"/>
          <w:szCs w:val="28"/>
          <w:highlight w:val="none"/>
        </w:rPr>
      </w:pPr>
      <w:r>
        <w:rPr>
          <w:sz w:val="28"/>
          <w:szCs w:val="28"/>
          <w:highlight w:val="none"/>
        </w:rPr>
        <w:t>（五）在评审过程中，除非根据询价小组的要求，</w:t>
      </w:r>
      <w:r>
        <w:rPr>
          <w:rFonts w:hint="eastAsia"/>
          <w:sz w:val="28"/>
          <w:szCs w:val="28"/>
          <w:highlight w:val="none"/>
        </w:rPr>
        <w:t>申请人</w:t>
      </w:r>
      <w:r>
        <w:rPr>
          <w:sz w:val="28"/>
          <w:szCs w:val="28"/>
          <w:highlight w:val="none"/>
        </w:rPr>
        <w:t>不得主动与采购人和询价小组成员接触，不得有任何游说、贿赂等影响询价小组成员客观和公正地进行评审的行为。</w:t>
      </w:r>
      <w:r>
        <w:rPr>
          <w:rFonts w:hint="eastAsia"/>
          <w:sz w:val="28"/>
          <w:szCs w:val="28"/>
          <w:highlight w:val="none"/>
        </w:rPr>
        <w:t>申请人</w:t>
      </w:r>
      <w:r>
        <w:rPr>
          <w:sz w:val="28"/>
          <w:szCs w:val="28"/>
          <w:highlight w:val="none"/>
        </w:rPr>
        <w:t>对采购人或询价小组成员施加影响的任何企图和行为，将导致其</w:t>
      </w:r>
      <w:r>
        <w:rPr>
          <w:rFonts w:hint="eastAsia"/>
          <w:sz w:val="28"/>
          <w:szCs w:val="28"/>
          <w:highlight w:val="none"/>
        </w:rPr>
        <w:t>响应</w:t>
      </w:r>
      <w:r>
        <w:rPr>
          <w:sz w:val="28"/>
          <w:szCs w:val="28"/>
          <w:highlight w:val="none"/>
        </w:rPr>
        <w:t>无效。</w:t>
      </w:r>
    </w:p>
    <w:p>
      <w:pPr>
        <w:ind w:firstLine="560"/>
        <w:rPr>
          <w:color w:val="000000"/>
          <w:spacing w:val="-4"/>
          <w:sz w:val="28"/>
          <w:szCs w:val="28"/>
          <w:highlight w:val="none"/>
        </w:rPr>
      </w:pPr>
      <w:r>
        <w:rPr>
          <w:sz w:val="28"/>
          <w:szCs w:val="28"/>
          <w:highlight w:val="none"/>
        </w:rPr>
        <w:t>（六）询价小组按照以下程序进行评审：评审准备；详细评审；</w:t>
      </w:r>
      <w:r>
        <w:rPr>
          <w:color w:val="000000"/>
          <w:spacing w:val="-4"/>
          <w:sz w:val="28"/>
          <w:szCs w:val="28"/>
          <w:highlight w:val="none"/>
        </w:rPr>
        <w:t>汇总评审结果；推荐</w:t>
      </w:r>
      <w:r>
        <w:rPr>
          <w:rFonts w:hint="eastAsia"/>
          <w:color w:val="000000"/>
          <w:spacing w:val="-4"/>
          <w:sz w:val="28"/>
          <w:szCs w:val="28"/>
          <w:highlight w:val="none"/>
        </w:rPr>
        <w:t>中选</w:t>
      </w:r>
      <w:r>
        <w:rPr>
          <w:color w:val="000000"/>
          <w:spacing w:val="-4"/>
          <w:sz w:val="28"/>
          <w:szCs w:val="28"/>
          <w:highlight w:val="none"/>
        </w:rPr>
        <w:t>候选人；编写</w:t>
      </w:r>
      <w:r>
        <w:rPr>
          <w:rFonts w:hint="eastAsia"/>
          <w:color w:val="000000"/>
          <w:spacing w:val="-4"/>
          <w:sz w:val="28"/>
          <w:szCs w:val="28"/>
          <w:highlight w:val="none"/>
        </w:rPr>
        <w:t>评审报告</w:t>
      </w:r>
      <w:r>
        <w:rPr>
          <w:color w:val="000000"/>
          <w:spacing w:val="-4"/>
          <w:sz w:val="28"/>
          <w:szCs w:val="28"/>
          <w:highlight w:val="none"/>
        </w:rPr>
        <w:t>。</w:t>
      </w:r>
    </w:p>
    <w:p>
      <w:pPr>
        <w:ind w:firstLine="560"/>
        <w:rPr>
          <w:sz w:val="28"/>
          <w:szCs w:val="28"/>
          <w:highlight w:val="none"/>
        </w:rPr>
      </w:pPr>
      <w:r>
        <w:rPr>
          <w:sz w:val="28"/>
          <w:szCs w:val="28"/>
          <w:highlight w:val="none"/>
        </w:rPr>
        <w:t>（七）评审方法：经评审的最低价中选法；根据上述评审原则对询价文件进行评审，通过评审的报价文件</w:t>
      </w:r>
      <w:r>
        <w:rPr>
          <w:rFonts w:hint="eastAsia"/>
          <w:sz w:val="28"/>
          <w:szCs w:val="28"/>
          <w:highlight w:val="none"/>
        </w:rPr>
        <w:t>综合</w:t>
      </w:r>
      <w:r>
        <w:rPr>
          <w:sz w:val="28"/>
          <w:szCs w:val="28"/>
          <w:highlight w:val="none"/>
        </w:rPr>
        <w:t>报价最低者，将被推荐为第一中选候选人。</w:t>
      </w:r>
    </w:p>
    <w:p>
      <w:pPr>
        <w:ind w:firstLine="560"/>
        <w:rPr>
          <w:sz w:val="28"/>
          <w:szCs w:val="28"/>
          <w:highlight w:val="none"/>
        </w:rPr>
      </w:pPr>
      <w:r>
        <w:rPr>
          <w:sz w:val="28"/>
          <w:szCs w:val="28"/>
          <w:highlight w:val="none"/>
        </w:rPr>
        <w:t>（八）定标：在询价小组完成评审后，将对询价结果进行公示</w:t>
      </w:r>
      <w:r>
        <w:rPr>
          <w:rFonts w:hint="eastAsia"/>
          <w:sz w:val="28"/>
          <w:szCs w:val="28"/>
          <w:highlight w:val="none"/>
        </w:rPr>
        <w:t>，</w:t>
      </w:r>
      <w:r>
        <w:rPr>
          <w:sz w:val="28"/>
          <w:szCs w:val="28"/>
          <w:highlight w:val="none"/>
        </w:rPr>
        <w:t>公示期为三日，公示结束后经定选程序发函通知中选单位。</w:t>
      </w:r>
    </w:p>
    <w:p>
      <w:pPr>
        <w:ind w:firstLine="560"/>
        <w:rPr>
          <w:sz w:val="28"/>
          <w:szCs w:val="28"/>
          <w:highlight w:val="none"/>
        </w:rPr>
      </w:pPr>
      <w:r>
        <w:rPr>
          <w:sz w:val="28"/>
          <w:szCs w:val="28"/>
          <w:highlight w:val="none"/>
        </w:rPr>
        <w:t>（九）中选通知书下发后，询价人</w:t>
      </w:r>
      <w:r>
        <w:rPr>
          <w:rFonts w:hint="eastAsia"/>
          <w:sz w:val="28"/>
          <w:szCs w:val="28"/>
          <w:highlight w:val="none"/>
        </w:rPr>
        <w:t>如顺利取得建设单位该项目材料供应，</w:t>
      </w:r>
      <w:r>
        <w:rPr>
          <w:sz w:val="28"/>
          <w:szCs w:val="28"/>
          <w:highlight w:val="none"/>
        </w:rPr>
        <w:t>将在30个日历日内与中选人签订该项目合同。</w:t>
      </w:r>
    </w:p>
    <w:p>
      <w:pPr>
        <w:ind w:firstLine="562"/>
        <w:rPr>
          <w:b/>
          <w:bCs/>
          <w:sz w:val="28"/>
          <w:szCs w:val="28"/>
          <w:highlight w:val="none"/>
        </w:rPr>
      </w:pPr>
      <w:r>
        <w:rPr>
          <w:b/>
          <w:sz w:val="28"/>
          <w:szCs w:val="28"/>
          <w:highlight w:val="none"/>
        </w:rPr>
        <w:t>六、</w:t>
      </w:r>
      <w:r>
        <w:rPr>
          <w:b/>
          <w:bCs/>
          <w:sz w:val="28"/>
          <w:szCs w:val="28"/>
          <w:highlight w:val="none"/>
        </w:rPr>
        <w:t>本次询价对申请人不作经济补偿。</w:t>
      </w:r>
    </w:p>
    <w:p>
      <w:pPr>
        <w:ind w:firstLine="562"/>
        <w:rPr>
          <w:b/>
          <w:bCs/>
          <w:sz w:val="28"/>
          <w:szCs w:val="28"/>
          <w:highlight w:val="none"/>
        </w:rPr>
      </w:pPr>
      <w:r>
        <w:rPr>
          <w:b/>
          <w:bCs/>
          <w:sz w:val="28"/>
          <w:szCs w:val="28"/>
          <w:highlight w:val="none"/>
        </w:rPr>
        <w:t>七、请申请人注意：在开标前自己的身份、报价应对其它申请人保密。</w:t>
      </w:r>
    </w:p>
    <w:p>
      <w:pPr>
        <w:ind w:firstLine="562"/>
        <w:rPr>
          <w:b/>
          <w:bCs/>
          <w:sz w:val="28"/>
          <w:szCs w:val="28"/>
          <w:highlight w:val="none"/>
        </w:rPr>
      </w:pPr>
      <w:r>
        <w:rPr>
          <w:b/>
          <w:bCs/>
          <w:sz w:val="28"/>
          <w:szCs w:val="28"/>
          <w:highlight w:val="none"/>
        </w:rPr>
        <w:br w:type="page"/>
      </w:r>
    </w:p>
    <w:p>
      <w:pPr>
        <w:ind w:firstLine="0" w:firstLineChars="0"/>
        <w:jc w:val="left"/>
        <w:rPr>
          <w:rFonts w:eastAsia="黑体"/>
          <w:szCs w:val="32"/>
          <w:highlight w:val="none"/>
        </w:rPr>
      </w:pPr>
      <w:r>
        <w:rPr>
          <w:rFonts w:hint="eastAsia" w:eastAsia="黑体"/>
          <w:szCs w:val="32"/>
          <w:highlight w:val="none"/>
        </w:rPr>
        <w:t>附件4</w:t>
      </w:r>
    </w:p>
    <w:p>
      <w:pPr>
        <w:ind w:firstLine="0" w:firstLineChars="0"/>
        <w:jc w:val="center"/>
        <w:rPr>
          <w:rFonts w:eastAsia="黑体"/>
          <w:szCs w:val="32"/>
          <w:highlight w:val="none"/>
        </w:rPr>
      </w:pPr>
      <w:bookmarkStart w:id="27" w:name="_Toc100148939"/>
      <w:bookmarkStart w:id="28" w:name="_Toc9078"/>
      <w:bookmarkStart w:id="29" w:name="_Toc25700"/>
      <w:bookmarkStart w:id="30" w:name="_Toc16520"/>
      <w:bookmarkStart w:id="31" w:name="_Toc25375"/>
      <w:bookmarkStart w:id="32" w:name="_Toc31060"/>
      <w:r>
        <w:rPr>
          <w:rFonts w:hint="eastAsia" w:eastAsia="黑体"/>
          <w:szCs w:val="32"/>
          <w:highlight w:val="none"/>
        </w:rPr>
        <w:t>合同条款及格式</w:t>
      </w:r>
      <w:bookmarkEnd w:id="27"/>
      <w:bookmarkEnd w:id="28"/>
      <w:bookmarkEnd w:id="29"/>
      <w:bookmarkEnd w:id="30"/>
      <w:bookmarkEnd w:id="31"/>
      <w:bookmarkEnd w:id="32"/>
    </w:p>
    <w:p>
      <w:pPr>
        <w:ind w:firstLine="0" w:firstLineChars="0"/>
        <w:jc w:val="center"/>
        <w:rPr>
          <w:rFonts w:eastAsia="黑体"/>
          <w:szCs w:val="32"/>
          <w:highlight w:val="none"/>
        </w:rPr>
      </w:pPr>
      <w:r>
        <w:rPr>
          <w:rFonts w:hint="eastAsia" w:eastAsia="黑体"/>
          <w:szCs w:val="32"/>
          <w:highlight w:val="none"/>
        </w:rPr>
        <w:t>（本合同仅供参考，具体以实际签订为准）</w:t>
      </w:r>
    </w:p>
    <w:p>
      <w:pPr>
        <w:spacing w:before="240" w:after="60" w:line="360" w:lineRule="auto"/>
        <w:ind w:firstLine="0" w:firstLineChars="0"/>
        <w:jc w:val="center"/>
        <w:outlineLvl w:val="0"/>
        <w:rPr>
          <w:rFonts w:eastAsia="宋体"/>
          <w:bCs/>
          <w:kern w:val="0"/>
          <w:sz w:val="36"/>
          <w:szCs w:val="36"/>
          <w:highlight w:val="none"/>
        </w:rPr>
      </w:pPr>
      <w:bookmarkStart w:id="33" w:name="_Toc24134"/>
      <w:bookmarkStart w:id="34" w:name="_Toc1774"/>
      <w:bookmarkStart w:id="35" w:name="_Toc1716"/>
      <w:bookmarkStart w:id="36" w:name="_Toc28526"/>
      <w:bookmarkStart w:id="37" w:name="_Toc31302"/>
    </w:p>
    <w:p>
      <w:pPr>
        <w:pStyle w:val="12"/>
        <w:spacing w:line="360" w:lineRule="auto"/>
        <w:ind w:firstLine="0" w:firstLineChars="0"/>
        <w:jc w:val="center"/>
        <w:outlineLvl w:val="9"/>
        <w:rPr>
          <w:rFonts w:ascii="Times New Roman" w:hAnsi="Times New Roman" w:cs="Times New Roman"/>
          <w:color w:val="auto"/>
          <w:kern w:val="0"/>
          <w:highlight w:val="none"/>
          <w:lang w:val="en-US"/>
        </w:rPr>
      </w:pPr>
      <w:r>
        <w:rPr>
          <w:rFonts w:hint="eastAsia" w:ascii="Times New Roman" w:hAnsi="Times New Roman" w:cs="Times New Roman"/>
          <w:color w:val="auto"/>
          <w:kern w:val="0"/>
          <w:highlight w:val="none"/>
          <w:lang w:val="en-US"/>
        </w:rPr>
        <w:t>XXXX</w:t>
      </w:r>
    </w:p>
    <w:p>
      <w:pPr>
        <w:pStyle w:val="12"/>
        <w:spacing w:line="360" w:lineRule="auto"/>
        <w:ind w:firstLine="0" w:firstLineChars="0"/>
        <w:jc w:val="center"/>
        <w:outlineLvl w:val="9"/>
        <w:rPr>
          <w:rFonts w:ascii="Times New Roman" w:hAnsi="Times New Roman" w:eastAsia="仿宋_GB2312" w:cs="Times New Roman"/>
          <w:color w:val="auto"/>
          <w:sz w:val="84"/>
          <w:szCs w:val="84"/>
          <w:highlight w:val="none"/>
        </w:rPr>
      </w:pPr>
      <w:r>
        <w:rPr>
          <w:rFonts w:ascii="Times New Roman" w:hAnsi="Times New Roman" w:eastAsia="仿宋_GB2312" w:cs="Times New Roman"/>
          <w:color w:val="auto"/>
          <w:sz w:val="84"/>
          <w:szCs w:val="84"/>
          <w:highlight w:val="none"/>
        </w:rPr>
        <w:t>货物运输合同</w:t>
      </w:r>
    </w:p>
    <w:p>
      <w:pPr>
        <w:pStyle w:val="12"/>
        <w:spacing w:line="360" w:lineRule="auto"/>
        <w:ind w:firstLine="0" w:firstLineChars="0"/>
        <w:jc w:val="center"/>
        <w:outlineLvl w:val="9"/>
        <w:rPr>
          <w:rFonts w:ascii="Times New Roman" w:hAnsi="Times New Roman" w:cs="Times New Roman"/>
          <w:color w:val="auto"/>
          <w:kern w:val="0"/>
          <w:highlight w:val="none"/>
          <w:lang w:val="ja-JP"/>
        </w:rPr>
      </w:pPr>
      <w:r>
        <w:rPr>
          <w:rFonts w:hint="eastAsia" w:ascii="Times New Roman" w:hAnsi="Times New Roman" w:cs="Times New Roman"/>
          <w:color w:val="auto"/>
          <w:kern w:val="0"/>
          <w:highlight w:val="none"/>
          <w:lang w:val="en-US"/>
        </w:rPr>
        <w:t>（模板）</w:t>
      </w:r>
    </w:p>
    <w:p>
      <w:pPr>
        <w:pStyle w:val="21"/>
        <w:spacing w:line="360" w:lineRule="auto"/>
        <w:rPr>
          <w:rFonts w:hint="default" w:ascii="Times New Roman" w:hAnsi="Times New Roman" w:eastAsia="仿宋_GB2312" w:cs="Times New Roman"/>
          <w:highlight w:val="none"/>
          <w:lang w:val="ja-JP"/>
        </w:rPr>
      </w:pPr>
    </w:p>
    <w:p>
      <w:pPr>
        <w:pStyle w:val="21"/>
        <w:spacing w:line="360" w:lineRule="auto"/>
        <w:rPr>
          <w:rFonts w:hint="default" w:ascii="Times New Roman" w:hAnsi="Times New Roman" w:eastAsia="仿宋_GB2312" w:cs="Times New Roman"/>
          <w:highlight w:val="none"/>
          <w:lang w:val="ja-JP"/>
        </w:rPr>
      </w:pPr>
    </w:p>
    <w:p>
      <w:pPr>
        <w:pStyle w:val="21"/>
        <w:spacing w:line="360" w:lineRule="auto"/>
        <w:rPr>
          <w:rFonts w:hint="default" w:ascii="Times New Roman" w:hAnsi="Times New Roman" w:eastAsia="仿宋_GB2312" w:cs="Times New Roman"/>
          <w:highlight w:val="none"/>
          <w:lang w:val="ja-JP"/>
        </w:rPr>
      </w:pPr>
    </w:p>
    <w:p>
      <w:pPr>
        <w:pStyle w:val="21"/>
        <w:spacing w:line="360" w:lineRule="auto"/>
        <w:rPr>
          <w:rFonts w:hint="default" w:ascii="Times New Roman" w:hAnsi="Times New Roman" w:eastAsia="仿宋_GB2312" w:cs="Times New Roman"/>
          <w:highlight w:val="none"/>
          <w:lang w:val="ja-JP"/>
        </w:rPr>
      </w:pPr>
    </w:p>
    <w:p>
      <w:pPr>
        <w:pStyle w:val="21"/>
        <w:spacing w:line="360" w:lineRule="auto"/>
        <w:rPr>
          <w:rFonts w:hint="default" w:ascii="Times New Roman" w:hAnsi="Times New Roman" w:eastAsia="仿宋_GB2312" w:cs="Times New Roman"/>
          <w:highlight w:val="none"/>
          <w:lang w:val="ja-JP"/>
        </w:rPr>
      </w:pPr>
    </w:p>
    <w:p>
      <w:pPr>
        <w:pStyle w:val="12"/>
        <w:spacing w:line="360" w:lineRule="auto"/>
        <w:ind w:firstLine="2340" w:firstLineChars="900"/>
        <w:jc w:val="left"/>
        <w:outlineLvl w:val="9"/>
        <w:rPr>
          <w:rFonts w:ascii="Times New Roman" w:hAnsi="Times New Roman" w:eastAsia="仿宋_GB2312" w:cs="Times New Roman"/>
          <w:b w:val="0"/>
          <w:bCs w:val="0"/>
          <w:color w:val="000000"/>
          <w:spacing w:val="0"/>
          <w:sz w:val="26"/>
          <w:szCs w:val="26"/>
          <w:highlight w:val="none"/>
          <w:lang w:val="en-US" w:eastAsia="ja-JP"/>
        </w:rPr>
      </w:pPr>
      <w:r>
        <w:rPr>
          <w:rFonts w:ascii="Times New Roman" w:hAnsi="Times New Roman" w:eastAsia="仿宋_GB2312" w:cs="Times New Roman"/>
          <w:b w:val="0"/>
          <w:bCs w:val="0"/>
          <w:color w:val="000000"/>
          <w:spacing w:val="0"/>
          <w:sz w:val="26"/>
          <w:szCs w:val="26"/>
          <w:highlight w:val="none"/>
          <w:lang w:val="ja-JP" w:eastAsia="ja-JP"/>
        </w:rPr>
        <w:t>甲方：</w:t>
      </w:r>
      <w:r>
        <w:rPr>
          <w:rFonts w:ascii="Times New Roman" w:hAnsi="Times New Roman" w:eastAsia="仿宋_GB2312" w:cs="Times New Roman"/>
          <w:b w:val="0"/>
          <w:bCs w:val="0"/>
          <w:color w:val="000000"/>
          <w:spacing w:val="0"/>
          <w:sz w:val="26"/>
          <w:szCs w:val="26"/>
          <w:highlight w:val="none"/>
          <w:lang w:val="en-US" w:eastAsia="ja-JP"/>
        </w:rPr>
        <w:t xml:space="preserve">四川蜀物路面材料有限公司  </w:t>
      </w:r>
    </w:p>
    <w:p>
      <w:pPr>
        <w:pStyle w:val="12"/>
        <w:spacing w:line="360" w:lineRule="auto"/>
        <w:ind w:firstLine="2340" w:firstLineChars="900"/>
        <w:jc w:val="left"/>
        <w:outlineLvl w:val="9"/>
        <w:rPr>
          <w:rFonts w:ascii="Times New Roman" w:hAnsi="Times New Roman" w:eastAsia="仿宋_GB2312" w:cs="Times New Roman"/>
          <w:b w:val="0"/>
          <w:bCs w:val="0"/>
          <w:color w:val="000000"/>
          <w:spacing w:val="0"/>
          <w:sz w:val="26"/>
          <w:szCs w:val="26"/>
          <w:highlight w:val="none"/>
          <w:lang w:val="en-US"/>
        </w:rPr>
      </w:pPr>
      <w:r>
        <w:rPr>
          <w:rFonts w:ascii="Times New Roman" w:hAnsi="Times New Roman" w:eastAsia="仿宋_GB2312" w:cs="Times New Roman"/>
          <w:b w:val="0"/>
          <w:bCs w:val="0"/>
          <w:color w:val="000000"/>
          <w:spacing w:val="0"/>
          <w:sz w:val="26"/>
          <w:szCs w:val="26"/>
          <w:highlight w:val="none"/>
          <w:lang w:val="en-US"/>
        </w:rPr>
        <w:t xml:space="preserve">乙方： </w:t>
      </w:r>
    </w:p>
    <w:p>
      <w:pPr>
        <w:pStyle w:val="22"/>
        <w:spacing w:line="360" w:lineRule="auto"/>
        <w:ind w:firstLine="2210" w:firstLineChars="850"/>
        <w:jc w:val="left"/>
        <w:rPr>
          <w:rFonts w:ascii="Times New Roman" w:hAnsi="Times New Roman" w:eastAsia="仿宋_GB2312" w:cs="Times New Roman"/>
          <w:i w:val="0"/>
          <w:iCs w:val="0"/>
          <w:color w:val="000000"/>
          <w:highlight w:val="none"/>
          <w:lang w:val="zh-CN"/>
        </w:rPr>
      </w:pPr>
    </w:p>
    <w:p>
      <w:pPr>
        <w:pStyle w:val="22"/>
        <w:spacing w:line="360" w:lineRule="auto"/>
        <w:ind w:firstLine="2210" w:firstLineChars="850"/>
        <w:jc w:val="left"/>
        <w:rPr>
          <w:rFonts w:ascii="Times New Roman" w:hAnsi="Times New Roman" w:eastAsia="仿宋_GB2312" w:cs="Times New Roman"/>
          <w:color w:val="000000"/>
          <w:highlight w:val="none"/>
        </w:rPr>
      </w:pPr>
      <w:r>
        <w:rPr>
          <w:rFonts w:ascii="Times New Roman" w:hAnsi="Times New Roman" w:eastAsia="仿宋_GB2312" w:cs="Times New Roman"/>
          <w:i w:val="0"/>
          <w:iCs w:val="0"/>
          <w:color w:val="000000"/>
          <w:highlight w:val="none"/>
          <w:lang w:val="zh-CN"/>
        </w:rPr>
        <w:t>合同编号：</w:t>
      </w:r>
    </w:p>
    <w:p>
      <w:pPr>
        <w:pStyle w:val="22"/>
        <w:spacing w:line="360" w:lineRule="auto"/>
        <w:ind w:firstLine="2210" w:firstLineChars="850"/>
        <w:jc w:val="left"/>
        <w:rPr>
          <w:rFonts w:ascii="Times New Roman" w:hAnsi="Times New Roman" w:eastAsia="仿宋_GB2312" w:cs="Times New Roman"/>
          <w:i w:val="0"/>
          <w:iCs w:val="0"/>
          <w:color w:val="000000"/>
          <w:highlight w:val="none"/>
        </w:rPr>
      </w:pPr>
      <w:r>
        <w:rPr>
          <w:rFonts w:ascii="Times New Roman" w:hAnsi="Times New Roman" w:eastAsia="仿宋_GB2312" w:cs="Times New Roman"/>
          <w:i w:val="0"/>
          <w:iCs w:val="0"/>
          <w:color w:val="000000"/>
          <w:highlight w:val="none"/>
          <w:lang w:val="zh-CN"/>
        </w:rPr>
        <w:t>签订时间：</w:t>
      </w:r>
      <w:r>
        <w:rPr>
          <w:rFonts w:ascii="Times New Roman" w:hAnsi="Times New Roman" w:eastAsia="仿宋_GB2312" w:cs="Times New Roman"/>
          <w:i w:val="0"/>
          <w:iCs w:val="0"/>
          <w:color w:val="000000"/>
          <w:highlight w:val="none"/>
        </w:rPr>
        <w:t xml:space="preserve"> </w:t>
      </w:r>
      <w:r>
        <w:rPr>
          <w:rFonts w:hint="eastAsia" w:ascii="Times New Roman" w:hAnsi="Times New Roman" w:eastAsia="仿宋_GB2312" w:cs="Times New Roman"/>
          <w:i w:val="0"/>
          <w:iCs w:val="0"/>
          <w:color w:val="000000"/>
          <w:highlight w:val="none"/>
        </w:rPr>
        <w:t xml:space="preserve">   </w:t>
      </w:r>
      <w:r>
        <w:rPr>
          <w:rFonts w:ascii="Times New Roman" w:hAnsi="Times New Roman" w:eastAsia="仿宋_GB2312" w:cs="Times New Roman"/>
          <w:i w:val="0"/>
          <w:iCs w:val="0"/>
          <w:color w:val="000000"/>
          <w:highlight w:val="none"/>
        </w:rPr>
        <w:t xml:space="preserve"> 年 </w:t>
      </w:r>
      <w:r>
        <w:rPr>
          <w:rFonts w:hint="eastAsia" w:ascii="Times New Roman" w:hAnsi="Times New Roman" w:eastAsia="仿宋_GB2312" w:cs="Times New Roman"/>
          <w:i w:val="0"/>
          <w:iCs w:val="0"/>
          <w:color w:val="000000"/>
          <w:highlight w:val="none"/>
        </w:rPr>
        <w:t xml:space="preserve"> </w:t>
      </w:r>
      <w:r>
        <w:rPr>
          <w:rFonts w:ascii="Times New Roman" w:hAnsi="Times New Roman" w:eastAsia="仿宋_GB2312" w:cs="Times New Roman"/>
          <w:i w:val="0"/>
          <w:iCs w:val="0"/>
          <w:color w:val="000000"/>
          <w:highlight w:val="none"/>
        </w:rPr>
        <w:t xml:space="preserve"> 月 </w:t>
      </w:r>
      <w:r>
        <w:rPr>
          <w:rFonts w:hint="eastAsia" w:ascii="Times New Roman" w:hAnsi="Times New Roman" w:eastAsia="仿宋_GB2312" w:cs="Times New Roman"/>
          <w:i w:val="0"/>
          <w:iCs w:val="0"/>
          <w:color w:val="000000"/>
          <w:highlight w:val="none"/>
        </w:rPr>
        <w:t xml:space="preserve"> </w:t>
      </w:r>
      <w:r>
        <w:rPr>
          <w:rFonts w:ascii="Times New Roman" w:hAnsi="Times New Roman" w:eastAsia="仿宋_GB2312" w:cs="Times New Roman"/>
          <w:i w:val="0"/>
          <w:iCs w:val="0"/>
          <w:color w:val="000000"/>
          <w:highlight w:val="none"/>
        </w:rPr>
        <w:t xml:space="preserve"> 日</w:t>
      </w:r>
    </w:p>
    <w:p>
      <w:pPr>
        <w:pStyle w:val="22"/>
        <w:spacing w:line="360" w:lineRule="auto"/>
        <w:ind w:firstLine="2210" w:firstLineChars="850"/>
        <w:jc w:val="left"/>
        <w:rPr>
          <w:rFonts w:ascii="Times New Roman" w:hAnsi="Times New Roman" w:eastAsia="仿宋_GB2312" w:cs="Times New Roman"/>
          <w:i w:val="0"/>
          <w:iCs w:val="0"/>
          <w:color w:val="000000"/>
          <w:highlight w:val="none"/>
        </w:rPr>
      </w:pPr>
      <w:r>
        <w:rPr>
          <w:rFonts w:ascii="Times New Roman" w:hAnsi="Times New Roman" w:eastAsia="仿宋_GB2312" w:cs="Times New Roman"/>
          <w:i w:val="0"/>
          <w:iCs w:val="0"/>
          <w:color w:val="000000"/>
          <w:highlight w:val="none"/>
        </w:rPr>
        <w:t>签订地点：四川省成都市青羊区</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根据《中华人民共和国民法典》及道路运输相关法律法规，乙方以承运人身份与甲方（托运人）签订运输服务合同，收取运费并承担承运人的法律责任，然后委托实际承运人（车辆）完成运输服务。双方就各自责、权、利等相关事项，经友好协商，达成如下协议，以资共同遵守。</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第一条 运输服务的内容和方式</w:t>
      </w:r>
    </w:p>
    <w:p>
      <w:pPr>
        <w:pStyle w:val="23"/>
        <w:widowControl w:val="0"/>
        <w:numPr>
          <w:ilvl w:val="0"/>
          <w:numId w:val="2"/>
        </w:numPr>
        <w:tabs>
          <w:tab w:val="left" w:pos="993"/>
        </w:tabs>
        <w:spacing w:line="240" w:lineRule="auto"/>
        <w:ind w:firstLine="134" w:firstLineChars="56"/>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运输服务内容</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（1）货物的概况和运输单价：</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货物名称：道路石油沥青</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数量：约</w:t>
      </w:r>
      <w:r>
        <w:rPr>
          <w:rFonts w:ascii="Times New Roman" w:hAnsi="Times New Roman" w:eastAsia="仿宋_GB2312" w:cs="Times New Roman"/>
          <w:bCs/>
          <w:color w:val="auto"/>
          <w:highlight w:val="none"/>
          <w:lang w:val="en-US"/>
        </w:rPr>
        <w:t>XX</w:t>
      </w:r>
      <w:r>
        <w:rPr>
          <w:rFonts w:hint="default" w:ascii="Times New Roman" w:hAnsi="Times New Roman" w:eastAsia="仿宋_GB2312" w:cs="Times New Roman"/>
          <w:bCs/>
          <w:color w:val="auto"/>
          <w:highlight w:val="none"/>
          <w:lang w:val="en-US"/>
        </w:rPr>
        <w:t>吨，以实际委托承运为准。</w:t>
      </w:r>
    </w:p>
    <w:p>
      <w:pPr>
        <w:pStyle w:val="23"/>
        <w:widowControl w:val="0"/>
        <w:spacing w:line="360" w:lineRule="exact"/>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运费：</w:t>
      </w:r>
    </w:p>
    <w:tbl>
      <w:tblPr>
        <w:tblStyle w:val="15"/>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051"/>
        <w:gridCol w:w="2080"/>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44" w:type="dxa"/>
            <w:vAlign w:val="center"/>
          </w:tcPr>
          <w:p>
            <w:pPr>
              <w:pStyle w:val="8"/>
              <w:spacing w:after="0" w:line="360" w:lineRule="exact"/>
              <w:ind w:firstLine="0" w:firstLineChars="0"/>
              <w:jc w:val="center"/>
              <w:rPr>
                <w:rFonts w:eastAsia="宋体"/>
                <w:bCs/>
                <w:color w:val="000000"/>
                <w:kern w:val="0"/>
                <w:sz w:val="22"/>
                <w:szCs w:val="22"/>
                <w:highlight w:val="none"/>
              </w:rPr>
            </w:pPr>
            <w:r>
              <w:rPr>
                <w:bCs/>
                <w:color w:val="000000"/>
                <w:kern w:val="0"/>
                <w:sz w:val="22"/>
                <w:szCs w:val="22"/>
                <w:highlight w:val="none"/>
              </w:rPr>
              <w:t>运距区间</w:t>
            </w:r>
          </w:p>
        </w:tc>
        <w:tc>
          <w:tcPr>
            <w:tcW w:w="2051" w:type="dxa"/>
            <w:vAlign w:val="center"/>
          </w:tcPr>
          <w:p>
            <w:pPr>
              <w:pStyle w:val="8"/>
              <w:spacing w:after="0" w:line="360" w:lineRule="exact"/>
              <w:ind w:firstLine="0" w:firstLineChars="0"/>
              <w:jc w:val="center"/>
              <w:rPr>
                <w:bCs/>
                <w:color w:val="000000"/>
                <w:kern w:val="0"/>
                <w:sz w:val="22"/>
                <w:szCs w:val="22"/>
                <w:highlight w:val="none"/>
              </w:rPr>
            </w:pPr>
            <w:r>
              <w:rPr>
                <w:bCs/>
                <w:color w:val="000000"/>
                <w:kern w:val="0"/>
                <w:sz w:val="22"/>
                <w:szCs w:val="22"/>
                <w:highlight w:val="none"/>
              </w:rPr>
              <w:t>不含税单价</w:t>
            </w:r>
          </w:p>
        </w:tc>
        <w:tc>
          <w:tcPr>
            <w:tcW w:w="2080" w:type="dxa"/>
            <w:vAlign w:val="center"/>
          </w:tcPr>
          <w:p>
            <w:pPr>
              <w:pStyle w:val="8"/>
              <w:spacing w:after="0" w:line="360" w:lineRule="exact"/>
              <w:ind w:firstLine="0" w:firstLineChars="0"/>
              <w:jc w:val="center"/>
              <w:rPr>
                <w:bCs/>
                <w:color w:val="000000"/>
                <w:kern w:val="0"/>
                <w:sz w:val="22"/>
                <w:szCs w:val="22"/>
                <w:highlight w:val="none"/>
              </w:rPr>
            </w:pPr>
            <w:r>
              <w:rPr>
                <w:bCs/>
                <w:color w:val="000000"/>
                <w:kern w:val="0"/>
                <w:sz w:val="22"/>
                <w:szCs w:val="22"/>
                <w:highlight w:val="none"/>
              </w:rPr>
              <w:t>税额</w:t>
            </w:r>
          </w:p>
        </w:tc>
        <w:tc>
          <w:tcPr>
            <w:tcW w:w="2285" w:type="dxa"/>
            <w:vAlign w:val="center"/>
          </w:tcPr>
          <w:p>
            <w:pPr>
              <w:pStyle w:val="8"/>
              <w:spacing w:after="0" w:line="360" w:lineRule="exact"/>
              <w:ind w:firstLine="0" w:firstLineChars="0"/>
              <w:jc w:val="center"/>
              <w:rPr>
                <w:bCs/>
                <w:color w:val="000000"/>
                <w:kern w:val="0"/>
                <w:sz w:val="22"/>
                <w:szCs w:val="22"/>
                <w:highlight w:val="none"/>
              </w:rPr>
            </w:pPr>
            <w:r>
              <w:rPr>
                <w:bCs/>
                <w:color w:val="000000"/>
                <w:kern w:val="0"/>
                <w:sz w:val="22"/>
                <w:szCs w:val="22"/>
                <w:highlight w:val="none"/>
              </w:rPr>
              <w:t>含税单价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44" w:type="dxa"/>
            <w:vAlign w:val="center"/>
          </w:tcPr>
          <w:p>
            <w:pPr>
              <w:pStyle w:val="8"/>
              <w:spacing w:after="0" w:line="360" w:lineRule="exact"/>
              <w:ind w:firstLine="0" w:firstLineChars="0"/>
              <w:jc w:val="center"/>
              <w:rPr>
                <w:bCs/>
                <w:color w:val="000000"/>
                <w:sz w:val="22"/>
                <w:szCs w:val="22"/>
                <w:highlight w:val="none"/>
              </w:rPr>
            </w:pPr>
          </w:p>
        </w:tc>
        <w:tc>
          <w:tcPr>
            <w:tcW w:w="2051" w:type="dxa"/>
            <w:vAlign w:val="center"/>
          </w:tcPr>
          <w:p>
            <w:pPr>
              <w:pStyle w:val="8"/>
              <w:spacing w:after="0" w:line="360" w:lineRule="exact"/>
              <w:ind w:firstLine="0" w:firstLineChars="0"/>
              <w:jc w:val="center"/>
              <w:rPr>
                <w:rFonts w:eastAsia="宋体"/>
                <w:bCs/>
                <w:color w:val="000000"/>
                <w:sz w:val="22"/>
                <w:szCs w:val="22"/>
                <w:highlight w:val="none"/>
              </w:rPr>
            </w:pPr>
          </w:p>
        </w:tc>
        <w:tc>
          <w:tcPr>
            <w:tcW w:w="2080" w:type="dxa"/>
            <w:vAlign w:val="center"/>
          </w:tcPr>
          <w:p>
            <w:pPr>
              <w:pStyle w:val="8"/>
              <w:spacing w:after="0" w:line="360" w:lineRule="exact"/>
              <w:ind w:firstLine="0" w:firstLineChars="0"/>
              <w:jc w:val="center"/>
              <w:rPr>
                <w:bCs/>
                <w:color w:val="000000"/>
                <w:sz w:val="22"/>
                <w:szCs w:val="22"/>
                <w:highlight w:val="none"/>
              </w:rPr>
            </w:pPr>
          </w:p>
        </w:tc>
        <w:tc>
          <w:tcPr>
            <w:tcW w:w="2285" w:type="dxa"/>
            <w:vAlign w:val="center"/>
          </w:tcPr>
          <w:p>
            <w:pPr>
              <w:pStyle w:val="8"/>
              <w:spacing w:after="0" w:line="360" w:lineRule="exact"/>
              <w:ind w:firstLine="0" w:firstLineChars="0"/>
              <w:jc w:val="center"/>
              <w:rPr>
                <w:bCs/>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44" w:type="dxa"/>
            <w:vAlign w:val="center"/>
          </w:tcPr>
          <w:p>
            <w:pPr>
              <w:pStyle w:val="8"/>
              <w:spacing w:after="0" w:line="360" w:lineRule="exact"/>
              <w:ind w:firstLine="0" w:firstLineChars="0"/>
              <w:jc w:val="center"/>
              <w:rPr>
                <w:bCs/>
                <w:color w:val="000000"/>
                <w:sz w:val="22"/>
                <w:szCs w:val="22"/>
                <w:highlight w:val="none"/>
              </w:rPr>
            </w:pPr>
          </w:p>
        </w:tc>
        <w:tc>
          <w:tcPr>
            <w:tcW w:w="2051" w:type="dxa"/>
            <w:vAlign w:val="center"/>
          </w:tcPr>
          <w:p>
            <w:pPr>
              <w:pStyle w:val="8"/>
              <w:spacing w:after="0" w:line="360" w:lineRule="exact"/>
              <w:ind w:firstLine="0" w:firstLineChars="0"/>
              <w:jc w:val="center"/>
              <w:rPr>
                <w:rFonts w:eastAsia="宋体"/>
                <w:bCs/>
                <w:color w:val="000000"/>
                <w:sz w:val="22"/>
                <w:szCs w:val="22"/>
                <w:highlight w:val="none"/>
              </w:rPr>
            </w:pPr>
          </w:p>
        </w:tc>
        <w:tc>
          <w:tcPr>
            <w:tcW w:w="2080" w:type="dxa"/>
            <w:vAlign w:val="center"/>
          </w:tcPr>
          <w:p>
            <w:pPr>
              <w:pStyle w:val="8"/>
              <w:spacing w:after="0" w:line="360" w:lineRule="exact"/>
              <w:ind w:firstLine="0" w:firstLineChars="0"/>
              <w:jc w:val="center"/>
              <w:rPr>
                <w:bCs/>
                <w:color w:val="000000"/>
                <w:sz w:val="22"/>
                <w:szCs w:val="22"/>
                <w:highlight w:val="none"/>
              </w:rPr>
            </w:pPr>
          </w:p>
        </w:tc>
        <w:tc>
          <w:tcPr>
            <w:tcW w:w="2285" w:type="dxa"/>
            <w:vAlign w:val="center"/>
          </w:tcPr>
          <w:p>
            <w:pPr>
              <w:pStyle w:val="8"/>
              <w:spacing w:after="0" w:line="360" w:lineRule="exact"/>
              <w:ind w:firstLine="0" w:firstLineChars="0"/>
              <w:jc w:val="center"/>
              <w:rPr>
                <w:bCs/>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44" w:type="dxa"/>
            <w:vAlign w:val="center"/>
          </w:tcPr>
          <w:p>
            <w:pPr>
              <w:pStyle w:val="8"/>
              <w:spacing w:after="0" w:line="360" w:lineRule="exact"/>
              <w:ind w:firstLine="0" w:firstLineChars="0"/>
              <w:jc w:val="center"/>
              <w:rPr>
                <w:bCs/>
                <w:color w:val="000000"/>
                <w:sz w:val="22"/>
                <w:szCs w:val="22"/>
                <w:highlight w:val="none"/>
              </w:rPr>
            </w:pPr>
          </w:p>
        </w:tc>
        <w:tc>
          <w:tcPr>
            <w:tcW w:w="2051" w:type="dxa"/>
            <w:vAlign w:val="center"/>
          </w:tcPr>
          <w:p>
            <w:pPr>
              <w:pStyle w:val="8"/>
              <w:spacing w:after="0" w:line="360" w:lineRule="exact"/>
              <w:ind w:firstLine="0" w:firstLineChars="0"/>
              <w:jc w:val="center"/>
              <w:rPr>
                <w:rFonts w:eastAsia="宋体"/>
                <w:bCs/>
                <w:color w:val="000000"/>
                <w:sz w:val="22"/>
                <w:szCs w:val="22"/>
                <w:highlight w:val="none"/>
              </w:rPr>
            </w:pPr>
          </w:p>
        </w:tc>
        <w:tc>
          <w:tcPr>
            <w:tcW w:w="2080" w:type="dxa"/>
            <w:vAlign w:val="center"/>
          </w:tcPr>
          <w:p>
            <w:pPr>
              <w:pStyle w:val="8"/>
              <w:spacing w:after="0" w:line="360" w:lineRule="exact"/>
              <w:ind w:firstLine="0" w:firstLineChars="0"/>
              <w:jc w:val="center"/>
              <w:rPr>
                <w:bCs/>
                <w:color w:val="000000"/>
                <w:sz w:val="22"/>
                <w:szCs w:val="22"/>
                <w:highlight w:val="none"/>
              </w:rPr>
            </w:pPr>
          </w:p>
        </w:tc>
        <w:tc>
          <w:tcPr>
            <w:tcW w:w="2285" w:type="dxa"/>
            <w:vAlign w:val="center"/>
          </w:tcPr>
          <w:p>
            <w:pPr>
              <w:pStyle w:val="8"/>
              <w:spacing w:after="0" w:line="360" w:lineRule="exact"/>
              <w:ind w:firstLine="0" w:firstLineChars="0"/>
              <w:jc w:val="center"/>
              <w:rPr>
                <w:bCs/>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44" w:type="dxa"/>
            <w:vAlign w:val="center"/>
          </w:tcPr>
          <w:p>
            <w:pPr>
              <w:pStyle w:val="8"/>
              <w:spacing w:after="0" w:line="360" w:lineRule="exact"/>
              <w:ind w:firstLine="0" w:firstLineChars="0"/>
              <w:jc w:val="center"/>
              <w:rPr>
                <w:bCs/>
                <w:color w:val="000000"/>
                <w:sz w:val="22"/>
                <w:szCs w:val="22"/>
                <w:highlight w:val="none"/>
              </w:rPr>
            </w:pPr>
          </w:p>
        </w:tc>
        <w:tc>
          <w:tcPr>
            <w:tcW w:w="2051" w:type="dxa"/>
            <w:vAlign w:val="center"/>
          </w:tcPr>
          <w:p>
            <w:pPr>
              <w:pStyle w:val="8"/>
              <w:spacing w:after="0" w:line="360" w:lineRule="exact"/>
              <w:ind w:firstLine="0" w:firstLineChars="0"/>
              <w:jc w:val="center"/>
              <w:rPr>
                <w:rFonts w:eastAsia="宋体"/>
                <w:bCs/>
                <w:color w:val="000000"/>
                <w:sz w:val="22"/>
                <w:szCs w:val="22"/>
                <w:highlight w:val="none"/>
              </w:rPr>
            </w:pPr>
          </w:p>
        </w:tc>
        <w:tc>
          <w:tcPr>
            <w:tcW w:w="2080" w:type="dxa"/>
            <w:vAlign w:val="center"/>
          </w:tcPr>
          <w:p>
            <w:pPr>
              <w:pStyle w:val="8"/>
              <w:spacing w:after="0" w:line="360" w:lineRule="exact"/>
              <w:ind w:firstLine="0" w:firstLineChars="0"/>
              <w:jc w:val="center"/>
              <w:rPr>
                <w:bCs/>
                <w:color w:val="000000"/>
                <w:sz w:val="22"/>
                <w:szCs w:val="22"/>
                <w:highlight w:val="none"/>
              </w:rPr>
            </w:pPr>
          </w:p>
        </w:tc>
        <w:tc>
          <w:tcPr>
            <w:tcW w:w="2285" w:type="dxa"/>
            <w:vAlign w:val="center"/>
          </w:tcPr>
          <w:p>
            <w:pPr>
              <w:pStyle w:val="8"/>
              <w:spacing w:after="0" w:line="360" w:lineRule="exact"/>
              <w:ind w:firstLine="0" w:firstLineChars="0"/>
              <w:jc w:val="center"/>
              <w:rPr>
                <w:bCs/>
                <w:color w:val="000000"/>
                <w:sz w:val="22"/>
                <w:szCs w:val="22"/>
                <w:highlight w:val="none"/>
              </w:rPr>
            </w:pPr>
          </w:p>
        </w:tc>
      </w:tr>
    </w:tbl>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说明：</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fldChar w:fldCharType="begin"/>
      </w:r>
      <w:r>
        <w:rPr>
          <w:rFonts w:hint="default" w:ascii="Times New Roman" w:hAnsi="Times New Roman" w:eastAsia="仿宋_GB2312" w:cs="Times New Roman"/>
          <w:bCs/>
          <w:color w:val="auto"/>
          <w:highlight w:val="none"/>
          <w:lang w:val="en-US"/>
        </w:rPr>
        <w:instrText xml:space="preserve"> = 1 \* GB3 </w:instrText>
      </w:r>
      <w:r>
        <w:rPr>
          <w:rFonts w:hint="default" w:ascii="Times New Roman" w:hAnsi="Times New Roman" w:eastAsia="仿宋_GB2312" w:cs="Times New Roman"/>
          <w:bCs/>
          <w:color w:val="auto"/>
          <w:highlight w:val="none"/>
          <w:lang w:val="en-US"/>
        </w:rPr>
        <w:fldChar w:fldCharType="separate"/>
      </w:r>
      <w:r>
        <w:rPr>
          <w:rFonts w:hint="default" w:ascii="Times New Roman" w:hAnsi="Times New Roman" w:eastAsia="仿宋_GB2312" w:cs="Times New Roman"/>
          <w:bCs/>
          <w:color w:val="auto"/>
          <w:highlight w:val="none"/>
          <w:lang w:val="en-US"/>
        </w:rPr>
        <w:t>①</w:t>
      </w:r>
      <w:r>
        <w:rPr>
          <w:rFonts w:hint="default" w:ascii="Times New Roman" w:hAnsi="Times New Roman" w:eastAsia="仿宋_GB2312" w:cs="Times New Roman"/>
          <w:bCs/>
          <w:color w:val="auto"/>
          <w:highlight w:val="none"/>
          <w:lang w:val="en-US"/>
        </w:rPr>
        <w:fldChar w:fldCharType="end"/>
      </w:r>
      <w:r>
        <w:rPr>
          <w:rFonts w:hint="default" w:ascii="Times New Roman" w:hAnsi="Times New Roman" w:eastAsia="仿宋_GB2312" w:cs="Times New Roman"/>
          <w:bCs/>
          <w:color w:val="auto"/>
          <w:highlight w:val="none"/>
          <w:lang w:val="en-US"/>
        </w:rPr>
        <w:t>上述价税合计运费为货物运到甲方指定收货地址现场的费用，包括：人工费、燃滑油料、稳性计算、绑扎方案及9%税票费用，过路过桥费、油费、运杂费、装卸费（不含运输起点及运输终点）、中转储运费、保险费（包括货物运输险、财产一切险、公共责任险等)、管理费、票据贴息费、利润及其他费用等一切费用，即到达甲方指定地点的含税的综合单价。</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②运费单价为固定价格，承运人应考虑承运期间内当市场发生变化对价格的影响，采购人对此不做调整；若因国家政策调整等因素，导致价格发生变化，双方可签订补充协议予以约定。</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③本合同数量为预估数量，不作为最终结算依据，具体运量根据甲方要求及实际承运调节。甲方有权根据项目实际需求进行数量调整，且定价方式不变，乙方接受；最终结算数量以乙方按照甲方要求实际运送的货物数量为准。</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④运距由甲乙双方共同确认，运距确认表作为合同附件，乙方实际运输费用=运费单价*实际运距*运输结算数量。</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⑤本合同数量为预估数量，不是甲方承诺的运量，以实际承运量为准，甲方不承担责任。</w:t>
      </w:r>
    </w:p>
    <w:p>
      <w:pPr>
        <w:pStyle w:val="23"/>
        <w:widowControl w:val="0"/>
        <w:tabs>
          <w:tab w:val="left" w:pos="993"/>
        </w:tabs>
        <w:spacing w:line="240" w:lineRule="auto"/>
        <w:ind w:left="179" w:leftChars="56"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2. 运输过程</w:t>
      </w:r>
      <w:r>
        <w:rPr>
          <w:rFonts w:hint="default" w:ascii="Times New Roman" w:hAnsi="Times New Roman" w:eastAsia="仿宋_GB2312" w:cs="Times New Roman"/>
          <w:bCs/>
          <w:color w:val="auto"/>
          <w:highlight w:val="none"/>
          <w:u w:val="single"/>
          <w:lang w:val="en-US"/>
        </w:rPr>
        <w:t>：根据甲方实际要求为准 （采用 公路 运输方式）</w:t>
      </w:r>
      <w:r>
        <w:rPr>
          <w:rFonts w:hint="default" w:ascii="Times New Roman" w:hAnsi="Times New Roman" w:eastAsia="仿宋_GB2312" w:cs="Times New Roman"/>
          <w:bCs/>
          <w:color w:val="auto"/>
          <w:highlight w:val="none"/>
          <w:lang w:val="en-US"/>
        </w:rPr>
        <w:t>。</w:t>
      </w:r>
    </w:p>
    <w:p>
      <w:pPr>
        <w:pStyle w:val="23"/>
        <w:widowControl w:val="0"/>
        <w:tabs>
          <w:tab w:val="left" w:pos="993"/>
        </w:tabs>
        <w:spacing w:line="240" w:lineRule="auto"/>
        <w:ind w:left="538"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3. 交（提）货方式、时间及风险承担</w:t>
      </w:r>
    </w:p>
    <w:p>
      <w:pPr>
        <w:pStyle w:val="23"/>
        <w:widowControl w:val="0"/>
        <w:numPr>
          <w:ilvl w:val="0"/>
          <w:numId w:val="3"/>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在合同期间，甲、乙双方指定授权人办理该合同下的每批货物托运业务，</w:t>
      </w:r>
      <w:r>
        <w:rPr>
          <w:rFonts w:hint="default" w:ascii="Times New Roman" w:hAnsi="Times New Roman" w:eastAsia="仿宋_GB2312" w:cs="Times New Roman"/>
          <w:bCs/>
          <w:color w:val="auto"/>
          <w:highlight w:val="none"/>
          <w:u w:val="single"/>
          <w:lang w:val="en-US"/>
        </w:rPr>
        <w:t>甲方指定授权人</w:t>
      </w:r>
      <w:r>
        <w:rPr>
          <w:rFonts w:ascii="Times New Roman" w:hAnsi="Times New Roman" w:eastAsia="仿宋_GB2312" w:cs="Times New Roman"/>
          <w:bCs/>
          <w:color w:val="auto"/>
          <w:highlight w:val="none"/>
          <w:u w:val="single"/>
          <w:lang w:val="en-US"/>
        </w:rPr>
        <w:t xml:space="preserve">         </w:t>
      </w:r>
      <w:r>
        <w:rPr>
          <w:rFonts w:hint="default" w:ascii="Times New Roman" w:hAnsi="Times New Roman" w:eastAsia="仿宋_GB2312" w:cs="Times New Roman"/>
          <w:bCs/>
          <w:color w:val="auto"/>
          <w:highlight w:val="none"/>
          <w:u w:val="single"/>
          <w:lang w:val="en-US"/>
        </w:rPr>
        <w:t>（联系电话</w:t>
      </w:r>
      <w:r>
        <w:rPr>
          <w:rFonts w:ascii="Times New Roman" w:hAnsi="Times New Roman" w:eastAsia="仿宋_GB2312" w:cs="Times New Roman"/>
          <w:bCs/>
          <w:color w:val="auto"/>
          <w:highlight w:val="none"/>
          <w:u w:val="single"/>
          <w:lang w:val="en-US"/>
        </w:rPr>
        <w:t xml:space="preserve">        </w:t>
      </w:r>
      <w:r>
        <w:rPr>
          <w:rFonts w:hint="default" w:ascii="Times New Roman" w:hAnsi="Times New Roman" w:eastAsia="仿宋_GB2312" w:cs="Times New Roman"/>
          <w:bCs/>
          <w:color w:val="auto"/>
          <w:highlight w:val="none"/>
          <w:u w:val="single"/>
          <w:lang w:val="en-US"/>
        </w:rPr>
        <w:t>），乙方指定授权人     （联系电话：            ）</w:t>
      </w:r>
      <w:r>
        <w:rPr>
          <w:rFonts w:hint="default" w:ascii="Times New Roman" w:hAnsi="Times New Roman" w:eastAsia="仿宋_GB2312" w:cs="Times New Roman"/>
          <w:bCs/>
          <w:color w:val="auto"/>
          <w:highlight w:val="none"/>
          <w:lang w:val="en-US"/>
        </w:rPr>
        <w:t>，如双方办理人员发生变动须提前3个工作日书面通知对方。通知未到达前仍以未变更的指定授权人为联系人。</w:t>
      </w:r>
    </w:p>
    <w:p>
      <w:pPr>
        <w:pStyle w:val="23"/>
        <w:widowControl w:val="0"/>
        <w:numPr>
          <w:ilvl w:val="0"/>
          <w:numId w:val="3"/>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按照甲方的运输管理规定，在甲方指定运输管理系统注册账号，按要求将运输驾驶人员、运输车辆及车辆驾驶人员信息录入系统，并通过运输管理系统接受甲方的运输指令和运输管理。运输车辆执行运输计划过程中，一是提货装车时，车辆驾驶人员须拍照上传发货单图片至系统后才可驶离提货地点；二是到达指定收货地点卸货时，车辆驾驶人员须拍照上传指定收货地点收货人开具的收货单图片至系统，收货单图片必须清晰显示收货时间、工地名称、净重数量、收货人姓名等信息。乙方将收取的发货单、收货单上传至运输管理系统后，须同时根据单据上的内容如实填报。</w:t>
      </w:r>
    </w:p>
    <w:p>
      <w:pPr>
        <w:pStyle w:val="23"/>
        <w:widowControl w:val="0"/>
        <w:numPr>
          <w:ilvl w:val="0"/>
          <w:numId w:val="3"/>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乙方按照甲方的运输管理规定，按要求在运输车辆安装指定的GPS设备，设备安装及使用费用由乙方承担。</w:t>
      </w:r>
    </w:p>
    <w:p>
      <w:pPr>
        <w:pStyle w:val="23"/>
        <w:widowControl w:val="0"/>
        <w:numPr>
          <w:ilvl w:val="0"/>
          <w:numId w:val="3"/>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应根据车辆运输管理要求以及甲方要求向甲方指定的发货人收取运输所需相关文件材料，包含所运货物的检测报告、产品合格证、出厂磅单、需随货交付给收货人文件等资料。货物送到后，收货方应核对收货单据内容确认无误后及时收取。</w:t>
      </w:r>
    </w:p>
    <w:p>
      <w:pPr>
        <w:pStyle w:val="23"/>
        <w:widowControl w:val="0"/>
        <w:numPr>
          <w:ilvl w:val="0"/>
          <w:numId w:val="3"/>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乙方须在甲方提前通知规定时间内完成装货、完成交付货物予甲方指定收货人，具体时间经双方协商沟通约定，甲方可根据需要增减已下达的运输计划，特殊情况以双方沟通后一致确认的结果为准。</w:t>
      </w:r>
    </w:p>
    <w:p>
      <w:pPr>
        <w:pStyle w:val="23"/>
        <w:widowControl w:val="0"/>
        <w:numPr>
          <w:ilvl w:val="0"/>
          <w:numId w:val="3"/>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甲乙双方以实际发生的货物交接凭证上接收与交付双方经办人的签字确认作为货物完好交接的依据。</w:t>
      </w:r>
    </w:p>
    <w:p>
      <w:pPr>
        <w:pStyle w:val="23"/>
        <w:widowControl w:val="0"/>
        <w:numPr>
          <w:ilvl w:val="0"/>
          <w:numId w:val="3"/>
        </w:numPr>
        <w:spacing w:line="240" w:lineRule="auto"/>
        <w:ind w:firstLine="42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须根据发货计划的货物性质和种类，在甲方要求的时间内调派合适的运输车辆到达指定地点装货；即便甲方某个批次的货物运输计划中的运输量使得乙方无法调派合适的运输车辆时，且未达到车辆额定运量时，乙方也不得在运输本项目货物的车辆上进行拼装运输。否则甲方将按照乙方违约追究其违约责任，同时由乙方全部承担因拼货而造成的甲方损失以及产生的额外全部费用以及因第三方索赔而支付的赔偿金等。</w:t>
      </w:r>
    </w:p>
    <w:p>
      <w:pPr>
        <w:pStyle w:val="23"/>
        <w:widowControl w:val="0"/>
        <w:numPr>
          <w:ilvl w:val="0"/>
          <w:numId w:val="3"/>
        </w:numPr>
        <w:spacing w:line="240" w:lineRule="auto"/>
        <w:ind w:firstLine="42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乙方应在投标报价中充分考虑每批运输货物量存在装车不满、空返对报价的影响，甲方不再为此进行价格调整。</w:t>
      </w:r>
    </w:p>
    <w:p>
      <w:pPr>
        <w:pStyle w:val="25"/>
        <w:numPr>
          <w:ilvl w:val="0"/>
          <w:numId w:val="3"/>
        </w:numPr>
        <w:autoSpaceDE w:val="0"/>
        <w:autoSpaceDN w:val="0"/>
        <w:adjustRightInd w:val="0"/>
        <w:snapToGrid w:val="0"/>
        <w:spacing w:line="240" w:lineRule="auto"/>
        <w:ind w:firstLineChars="0"/>
        <w:rPr>
          <w:rFonts w:eastAsia="仿宋_GB2312"/>
          <w:bCs/>
          <w:kern w:val="0"/>
          <w:sz w:val="24"/>
          <w:szCs w:val="24"/>
          <w:highlight w:val="none"/>
          <w:lang w:val="zh-CN"/>
        </w:rPr>
      </w:pPr>
      <w:r>
        <w:rPr>
          <w:rFonts w:eastAsia="仿宋_GB2312"/>
          <w:bCs/>
          <w:kern w:val="0"/>
          <w:sz w:val="24"/>
          <w:szCs w:val="24"/>
          <w:highlight w:val="none"/>
        </w:rPr>
        <w:t>乙方配置</w:t>
      </w:r>
      <w:r>
        <w:rPr>
          <w:rFonts w:eastAsia="仿宋_GB2312"/>
          <w:bCs/>
          <w:kern w:val="0"/>
          <w:sz w:val="24"/>
          <w:szCs w:val="24"/>
          <w:highlight w:val="none"/>
          <w:lang w:val="zh-CN"/>
        </w:rPr>
        <w:t>车辆必须按照采购人路运要求规范装载，基本要求为有遮盖措施，备足符合要求的</w:t>
      </w:r>
      <w:r>
        <w:rPr>
          <w:rFonts w:eastAsia="仿宋_GB2312"/>
          <w:bCs/>
          <w:kern w:val="0"/>
          <w:sz w:val="24"/>
          <w:szCs w:val="24"/>
          <w:highlight w:val="none"/>
        </w:rPr>
        <w:t>设施设备</w:t>
      </w:r>
      <w:r>
        <w:rPr>
          <w:rFonts w:eastAsia="仿宋_GB2312"/>
          <w:bCs/>
          <w:kern w:val="0"/>
          <w:sz w:val="24"/>
          <w:szCs w:val="24"/>
          <w:highlight w:val="none"/>
          <w:lang w:val="zh-CN"/>
        </w:rPr>
        <w:t>。</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第二条 甲方权利及义务</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1.甲方提前向乙方发出运输需求。</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2.按照本合同规定及时支付运费。</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3.如乙方违反甲方或甲方客户的质量、安全管理等制度及管理要求，甲方有权按照甲方规定或甲方客户的规定对乙方进行相应处罚。</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4.因乙方原因给甲方造成损失的，甲方有权根据情况要求乙方赔偿所有损失，包括甲方因此对第三方进行的赔偿。</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5.甲方有权对本合同提及的管理制度及各种标准进行适时修订，并及时通知乙方遵照执行。</w:t>
      </w:r>
    </w:p>
    <w:p>
      <w:pPr>
        <w:pStyle w:val="23"/>
        <w:widowControl w:val="0"/>
        <w:spacing w:line="240" w:lineRule="auto"/>
        <w:ind w:firstLine="480" w:firstLineChars="20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6.甲乙双方不得无故终止合同，未经甲方书面同意，乙方不得随意撤走车辆。</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7.甲方有权要求乙方提供其所委托发送货物的运输和签收信息，及向乙方查询货物运输服务过程的状况。甲方有权对乙方在货物运输服务过程中，由于乙方责任造成的货物损失提出赔偿要求。</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8.甲方应做好与收货人的沟通协调，因甲方原因造成的货物交付逾期、货物误交付、货物到达后无人收货或收货人无正当理由拒绝收货等，乙方不承担违约责任。</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9.甲方负责安排及时装货。</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10.施工现场由施工承包人负责卸货，甲方予以协调。</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第三条 乙方的权利和义务</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1.乙方必须具有相应的公路运输资质，牌照齐全有效，技术状况良好，并提交甲方备案。</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2.乙方须根据发货计划的货物性质和种类，在甲方要求的时间内调派合适的运输车辆到达指定地点装货（正常情况下</w:t>
      </w:r>
      <w:r>
        <w:rPr>
          <w:rFonts w:ascii="Times New Roman" w:hAnsi="Times New Roman" w:eastAsia="仿宋_GB2312" w:cs="Times New Roman"/>
          <w:bCs/>
          <w:color w:val="auto"/>
          <w:highlight w:val="none"/>
          <w:lang w:val="en-US"/>
        </w:rPr>
        <w:t>X</w:t>
      </w:r>
      <w:r>
        <w:rPr>
          <w:rFonts w:hint="default" w:ascii="Times New Roman" w:hAnsi="Times New Roman" w:eastAsia="仿宋_GB2312" w:cs="Times New Roman"/>
          <w:bCs/>
          <w:color w:val="auto"/>
          <w:highlight w:val="none"/>
          <w:lang w:val="en-US"/>
        </w:rPr>
        <w:t>个小时到达指定地点装货，紧急情况下</w:t>
      </w:r>
      <w:r>
        <w:rPr>
          <w:rFonts w:ascii="Times New Roman" w:hAnsi="Times New Roman" w:eastAsia="仿宋_GB2312" w:cs="Times New Roman"/>
          <w:bCs/>
          <w:color w:val="auto"/>
          <w:highlight w:val="none"/>
          <w:lang w:val="en-US"/>
        </w:rPr>
        <w:t>X</w:t>
      </w:r>
      <w:r>
        <w:rPr>
          <w:rFonts w:hint="default" w:ascii="Times New Roman" w:hAnsi="Times New Roman" w:eastAsia="仿宋_GB2312" w:cs="Times New Roman"/>
          <w:bCs/>
          <w:color w:val="auto"/>
          <w:highlight w:val="none"/>
          <w:lang w:val="en-US"/>
        </w:rPr>
        <w:t>个小时到达指定地点装货），并及时告知甲方相关车辆的准确信息。</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3.乙方所派运输车辆及工作人员，须严格遵守国家相关的法规以及甲方及甲方客户的相关规章制度。乙方车辆不得违法超限、超载运输，超限运输的车辆必须取得相关政府部门的许可。</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4.乙方参运的所有车辆及驾驶人员、驾驶人员必须按照国家有关规定购买强制保险和商业保险，保险费用由乙方承担。若在货物运输及装卸（乙方自行承担的卸货（如有））过程中发生安全环保事故，一切责任和造成损失由乙方承担。</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5.乙方须妥善保存与甲方业务往来之所有单据及证明，包括签收单、运单、收据等, 以备甲方查帐、核实，同时也是甲乙双方运费结算的重要凭据。乙方应对甲方提供的各种文件、资料及有关的商业信息予以保密。</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6.乙方运输车辆必须严格执行运输管理部门、监督部门的规定,接受运输管理部门的现场安全检查。</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7.乙方须做好预防性维护并定期对车辆进行检查和检测，确保车辆性能良好。车辆进场前，必须做好运输前准备工作，确保车辆设备性能良好，进入装/卸货区域，乙方应严格遵守甲方及甲方客户的规章制度，在指定的位置装卸货物，不得擅自进入生产区域。无故不听从者，甲方有权要求乙方更换驾驶人员、并进行违约处罚。</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8.乙方在交接货装卸现场及运输过程中必须谨慎小心，穿戴好安全防护用品，防止因操作不当导致货物的跌落、泄漏等而造成的人身伤害和环境污染。乙方人员作业过程中不得携带火种、饮酒及服用药物。</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9.乙方需按装车、运输相关要求进行操作。存在因转运而需临时存放的货物，必须按照当地的法律法规进行存储和隔离，参与货物转移和临时存放的人员必须经过相应的培训，在操作时必须做好个人防护措施。</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10.车辆进入甲方指定的装运范围所有的安全管理和教育由乙方负责，同时乙方人员、车辆必须服从甲方管理要求。乙方车辆必须服从甲方指定人员的指挥调度，保证提供优质服务，乙方车辆驾驶人员如有故意刁难、个人借故索要额外报酬或个人有其它违规行为，甲方有义务向乙方提出处理意见，乙方有责任立即核实，并切实解决。</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11.在未卸货前，甲方有权变更卸货地点，甲方将</w:t>
      </w:r>
      <w:r>
        <w:rPr>
          <w:rFonts w:ascii="Times New Roman" w:hAnsi="Times New Roman" w:eastAsia="仿宋_GB2312" w:cs="Times New Roman"/>
          <w:bCs/>
          <w:color w:val="auto"/>
          <w:highlight w:val="none"/>
          <w:lang w:val="en-US"/>
        </w:rPr>
        <w:t>以短信息、微信等</w:t>
      </w:r>
      <w:r>
        <w:rPr>
          <w:rFonts w:hint="default" w:ascii="Times New Roman" w:hAnsi="Times New Roman" w:eastAsia="仿宋_GB2312" w:cs="Times New Roman"/>
          <w:bCs/>
          <w:color w:val="auto"/>
          <w:highlight w:val="none"/>
          <w:lang w:val="en-US"/>
        </w:rPr>
        <w:t>书面通知乙方，乙方应积极配合甲方做好工作；对于卸货地点发生变更范围由双方协商并签订补充协议进行约定。</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12.乙方必须做好货物装运及捆绑等安全措施，并做好货物的跟踪，确保向甲方提供真实、准确的车辆、位置等信息。车辆驾驶人员应保持24小时通讯畅通，便于随时接受甲方人员的途中监控。</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13.卸车时接货双方应认真清点好各种产品的型号和数量，以及货物的完好程度。卸车完毕后，须按照甲方规定做好回单签收。乙方应妥善保管回单，并且在甲方要求的时间内带回甲方。如有货物在交接时有破损、短少、规格不符等原因时，收货单位人员应在回单上写明，双方确认签字，办理交接，由此造成的损失由乙方承担。</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14.乙方应在到货前按系统规定的时间通知收货方，以便收货方及时组织卸货。预计不能按时到达，乙方应立即以短信息、微信等书面通知甲方，以便进行调整，甲方有权按照公司相关管理制度相应考核乙方。运输过程中，如因乙方车辆出现故障，乙方应及时通知甲方并及时安排专业人员维修或更换车辆，因此影响甲方运输计划执行，造成的损失由乙方承担，因乙方原因更换车辆所产生的费用由乙方承担。</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15.乙方须对车辆驾驶人员及货物装卸作业等操作人员进行安全教育，确保满足质量、职业健康安全管理、环境管理体系运行要求。</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16.乙方在每批次货物发运前，必须为运输的货物办理货物险，保险受益人为甲方。</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17.乙方承运货物期间，对货物的安全和质量负责，运输途中所造成的货物损失，包括不限于货物灭失、货物失窃、货物受潮变质等，由乙方按照甲方货物的实际销售价格向甲方进行赔偿，若由此对甲方造成其他损失，还应当承担相应的赔偿责任，包括但不限于因处置货损问题产生的全部费用以及因第三方索赔而支付的赔偿金等。</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18.货物到达目的地，乙方应在第一时间将货物送至收货人，不得以任何原因暂扣所承运的货物。若暂扣所承运的货物，导致甲方收货人延误收货而索赔，则乙方须承担因此而引起的一切责任。</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19.乙方须根据甲方的要求完成运输工作，并承担为保障运输工作顺利进行而产生的费用，包括但不限于：安装甲方或厂家指定的GPS等设备，车辆检修，购买保险等。</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第四条 违约及索赔</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乙方在未征询甲方意见，且双方未协商并达成一致时，乙方无权单方面中止或解除合同。若乙方在未征询甲方意见，且双方未协商并达成一致时，停止车辆运输，乙方须赔偿甲方合同金额的30%的违约金并承担相应的法律责任。</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2.乙方承运货物期间，对货物的安全和质量负责，运输途中所造成的货物损失，包括不限于货物灭失、货物失窃、货物受潮变质等，由乙方按照甲方货物销售实际价格向甲方进行赔偿，若由此对甲方造成其他损失，还应当承担相应的赔偿责任，包括但不限于因处置货损问题产生的全部费用、因第三方索赔而支付的赔偿金</w:t>
      </w:r>
      <w:r>
        <w:rPr>
          <w:rFonts w:hint="default" w:ascii="Times New Roman" w:hAnsi="Times New Roman" w:eastAsia="仿宋_GB2312" w:cs="Times New Roman"/>
          <w:bCs/>
          <w:color w:val="auto"/>
          <w:highlight w:val="none"/>
          <w:lang w:val="en-US" w:eastAsia="zh-Hans"/>
        </w:rPr>
        <w:t>及实现债权的费用</w:t>
      </w:r>
      <w:r>
        <w:rPr>
          <w:rFonts w:hint="default" w:ascii="Times New Roman" w:hAnsi="Times New Roman" w:eastAsia="仿宋_GB2312" w:cs="Times New Roman"/>
          <w:bCs/>
          <w:color w:val="auto"/>
          <w:highlight w:val="none"/>
          <w:lang w:val="en-US"/>
        </w:rPr>
        <w:t>等。如乙方人员盗卖甲方货物造成甲方损失的，由乙方足额赔偿并</w:t>
      </w:r>
      <w:r>
        <w:rPr>
          <w:rFonts w:ascii="Times New Roman" w:hAnsi="Times New Roman" w:eastAsia="仿宋_GB2312" w:cs="Times New Roman"/>
          <w:bCs/>
          <w:color w:val="auto"/>
          <w:highlight w:val="none"/>
          <w:lang w:val="en-US"/>
        </w:rPr>
        <w:t>每次</w:t>
      </w:r>
      <w:r>
        <w:rPr>
          <w:rFonts w:hint="default" w:ascii="Times New Roman" w:hAnsi="Times New Roman" w:eastAsia="仿宋_GB2312" w:cs="Times New Roman"/>
          <w:bCs/>
          <w:color w:val="auto"/>
          <w:highlight w:val="none"/>
          <w:lang w:val="en-US"/>
        </w:rPr>
        <w:t>处罚款20000元；乙方人员不得串通甲方现场人员、甲方客户篡改单据、偷盗货物，若有发生每次处罚10000元并追究法律责任。</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3.乙方应加强车辆驾驶员的安全教育和卸料的机械操作规程培训；在进入甲方场地过磅、卸货时应小心谨慎驾驶操作，避免出现擦挂、碰撞等安全事故。若乙方车辆在场地发生损坏甲方或甲方客户设施的事故，由甲方组织有相关资质的维修队进行修复，修复费由乙方承担，同时甲方还将按修复金额的20%追加对乙方的处罚；若发生其他未给甲方造成损失的安全事故，甲方将视事件情况，对乙方处以500元至1000元的罚款。</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4.错运交货地点、错交收货人的，甲方不承担运费，且乙方应将所运货物运至合同和甲方运输指令规定的到货地点及收货人，由此造成逾期交货，导致甲方客户处罚的，相应处罚由乙方承担。</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5.货物到达目的地，乙方应在第一时间将货物送至收货人，不得以任何原因暂扣所承运的货物。若暂扣所承运的货物，导致甲方收货人延误收货而索赔，则乙方须承担因此而引起的一切责任。乙方应保证在甲方要求的时间内将货物运送到指定地点，因乙方原因延迟到货，导致甲方或甲方客户停工的，发生一次至少处罚10000元。</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6.乙方应遵守甲方及甲方客户的现行规章制度，服从甲方管理，若违反，甲方有权对其进行相应的考核并视情况给予处罚。</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7.乙方应按照甲方下达的运输指令中所要求的货物送达时间，采购人指定的运输起终点配合完成货物装车、在途运输、配合卸货至指定地点。因乙方原因未能按时将货物按时送达的，甲方将对乙方进行经济处罚，并可要求乙方赔偿因货物延时送达而造成的经济损失。</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8.乙方未提前与甲方沟通运输过程中面临的异常情况，且乙方驾驶员未按甲方运输指令完成交货，即按照如下标准处理：</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（1）每发生一次，该车辆运输费用在当期合同执行价基础上扣减20元/吨在当期应支付乙方运费中扣除；</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2）若造成甲方或甲方客户工地停工，由乙方承担工地停工的一切损失，包含但不限于因此迟延供货所产生的违约金及罚金、人工成本费用、机械设备租赁费用等。违约金可由甲方直接从应付运费或履约保证金中扣除，不足部分由乙方在3日内以现金方式支付。</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9.乙方车辆驾驶人员须按要求与指定收货人完成货物签收工作，并及时上传发货、收货单据，若发现未按要求与卸货工地指定收货人完成签收工作，或上传发货单、收货单上信息不全，甲方有权按照以下标准予以处罚：</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（1）发现某车辆驾驶人员第1次，进行500元处罚；</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（2）发现同一某车辆驾驶员人员第2次，进行1000元处罚，并禁止该驾驶员继续进行本项目运输工作。</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10.乙方车辆驾驶人员进入甲方现场的一切车辆和人员必须服从甲方的统一管理、指挥，遵守甲方的规章制度。如有违规行为应接受甲方处罚。乙方不得以任何理由出现压秤现象。若出现上述情况应将车辆立即驶离或拖离地磅秤，以待维修或按约解决。不得妨碍后续车辆进出。如有压秤行为，一次处罚500元，每超过一小时追加处罚500元；若因此影响甲方或甲方客户正常生产秩序，所造成的一切经济损失由乙方承担。</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11.货物装运起点地为甲方指定的仓库，乙方不得以假冒伪劣产品替换冒充。若有发生，乙方将按照该车辆所装载货物甲方销售价格的3倍金额向甲方进行赔偿，并承担因此造成的一切损失。</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12.乙方对甲方委托运输的货物在任何情况下不具有留置权、货物所有权及其他任何处分货物的权利。货物到达目的地，乙方应在第一时间将货物送至收货人，不得以任何原因暂扣所承运的货物。</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13.双方同意《物流运输承运单位管理细则》等相关运输管理制度作为本合同附件，合同执行过程中，乙方承诺将严格遵守甲方《物流运输承运单位管理细则》相关管理规定。该细则由甲方在合同签订前提供给乙方，乙方知悉并同意甲方有权按照细则规定给予乙方对应警告罚款或终止合同、列入黑名单等处罚。细则与本合同约定不一致的，择重处罚。</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第五条 运输货损货差处理</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乙方承运货物收货地称重结果需与发货地称重结果一致，不接受损耗；如收货地称重磅值小于发货地时，由乙方负责查明损耗原因，并按照甲方货物销售单价承担损耗的赔偿费用。</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第六条 运价与费用结算</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1.双方于每月 21日（若遇非工作日或节假日则顺延）核对上月 21 日至当月 20日期间经收货人签收的数量及对应的发货数量，核对无误后由双方共同签字确认。</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2.双方依据对账情况按照合同单价据实结算金额，结算单模板参考附件1，若双方结算的金额不一致，双方应及时沟通解决。</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3.验收数量核算无误后，乙方应于当月 25 日前（若遇非工作日或节假日则顺延）按照甲方信息，提供符合甲方管理要求且合规合法的增值税专用发票。因特殊原因无法及时开票的1个月内补齐，否则该月货款不予结算支付，直至双方合同终止后且补齐发票情况下再无息计入剩余货款支付。乙方未及时提供发票或提供发票有误的，甲方有权延迟支付货款。乙方如提供虚假发票的，甲方有权从运输费用中扣除虚假发票金额的25%作为违约金。</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4.付款时间：甲方自收到乙方开出的增值税专用发票后120日内办理付款。</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5.支付形式为:银行转账、银行承兑汇票、国内信用证、供应链金融产品及其它非现金的支付方式。采用银行承兑等非现金支付的比例不超过50%，采用非现金支付方式的，采购人不承担贴息费用等其他任何费用，非现金支付周期为6个月。</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6.乙方在合同签订前按照采购人要求向采购人提交履约保证金，在合同签订前以银行转账方式提交至甲方指定账户，</w:t>
      </w:r>
      <w:r>
        <w:rPr>
          <w:rFonts w:hint="default" w:ascii="Times New Roman" w:hAnsi="Times New Roman" w:eastAsia="仿宋_GB2312" w:cs="Times New Roman"/>
          <w:bCs/>
          <w:color w:val="auto"/>
          <w:highlight w:val="none"/>
          <w:u w:val="single"/>
          <w:lang w:val="en-US"/>
        </w:rPr>
        <w:t>金额</w:t>
      </w:r>
      <w:r>
        <w:rPr>
          <w:rFonts w:ascii="Times New Roman" w:hAnsi="Times New Roman" w:eastAsia="仿宋_GB2312" w:cs="Times New Roman"/>
          <w:bCs/>
          <w:color w:val="auto"/>
          <w:highlight w:val="none"/>
          <w:u w:val="single"/>
          <w:lang w:val="en-US"/>
        </w:rPr>
        <w:t>XX</w:t>
      </w:r>
      <w:r>
        <w:rPr>
          <w:rFonts w:hint="default" w:ascii="Times New Roman" w:hAnsi="Times New Roman" w:eastAsia="仿宋_GB2312" w:cs="Times New Roman"/>
          <w:bCs/>
          <w:color w:val="auto"/>
          <w:highlight w:val="none"/>
          <w:u w:val="single"/>
          <w:lang w:val="en-US"/>
        </w:rPr>
        <w:t>万元（大写</w:t>
      </w:r>
      <w:r>
        <w:rPr>
          <w:rFonts w:ascii="Times New Roman" w:hAnsi="Times New Roman" w:eastAsia="仿宋_GB2312" w:cs="Times New Roman"/>
          <w:bCs/>
          <w:color w:val="auto"/>
          <w:highlight w:val="none"/>
          <w:u w:val="single"/>
          <w:lang w:val="en-US"/>
        </w:rPr>
        <w:t>XX</w:t>
      </w:r>
      <w:r>
        <w:rPr>
          <w:rFonts w:hint="default" w:ascii="Times New Roman" w:hAnsi="Times New Roman" w:eastAsia="仿宋_GB2312" w:cs="Times New Roman"/>
          <w:bCs/>
          <w:color w:val="auto"/>
          <w:highlight w:val="none"/>
          <w:u w:val="single"/>
          <w:lang w:val="en-US"/>
        </w:rPr>
        <w:t>万元整）</w:t>
      </w:r>
      <w:r>
        <w:rPr>
          <w:rFonts w:hint="default" w:ascii="Times New Roman" w:hAnsi="Times New Roman" w:eastAsia="仿宋_GB2312" w:cs="Times New Roman"/>
          <w:bCs/>
          <w:color w:val="auto"/>
          <w:highlight w:val="none"/>
          <w:lang w:val="en-US"/>
        </w:rPr>
        <w:t>。甲方指定账户为：四川蜀物路面材料有限公司 中国工商银行股份有限公司华蓥支行2316555109100090739。</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对于乙方依约应向甲方承担的损失、违约金及赔偿款项，由甲方从乙方交纳的履约保证金或运费中扣收；履约保证金不足的，乙方同意由甲方从应支付的运费中自行划转直至补足。合同期满后，双方处理好合同善后事宜后10个工作日内，甲方无息退还乙方所剩余的履约保证金。</w:t>
      </w:r>
    </w:p>
    <w:p>
      <w:pPr>
        <w:pStyle w:val="23"/>
        <w:widowControl w:val="0"/>
        <w:tabs>
          <w:tab w:val="left" w:pos="709"/>
          <w:tab w:val="left" w:pos="993"/>
        </w:tabs>
        <w:spacing w:line="240" w:lineRule="auto"/>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 xml:space="preserve">乙方指定收款账户信息为： </w:t>
      </w:r>
    </w:p>
    <w:p>
      <w:pPr>
        <w:pStyle w:val="23"/>
        <w:widowControl w:val="0"/>
        <w:tabs>
          <w:tab w:val="left" w:pos="709"/>
          <w:tab w:val="left" w:pos="993"/>
        </w:tabs>
        <w:spacing w:line="240" w:lineRule="auto"/>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开户行：</w:t>
      </w:r>
    </w:p>
    <w:p>
      <w:pPr>
        <w:pStyle w:val="23"/>
        <w:widowControl w:val="0"/>
        <w:tabs>
          <w:tab w:val="left" w:pos="709"/>
          <w:tab w:val="left" w:pos="993"/>
        </w:tabs>
        <w:spacing w:line="240" w:lineRule="auto"/>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账号：</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乙方如需变更该信息的，应当在甲方付款前5日内以书面方式通知甲方，否则，由此产生的任何后果均由乙方承担。</w:t>
      </w:r>
    </w:p>
    <w:p>
      <w:pPr>
        <w:pStyle w:val="23"/>
        <w:widowControl w:val="0"/>
        <w:tabs>
          <w:tab w:val="left" w:pos="709"/>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7.本合同的合同价款来源于业主及施工承包人的工程款支付，如果业主或施工承包人未将工程款按约支付给甲方，则根据风险共担原则，双方约定，甲方应付乙方的款项的期限做相应顺延，并不承担顺延期间的利息及违约责任。</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第七条 合同生效和终止</w:t>
      </w:r>
    </w:p>
    <w:p>
      <w:pPr>
        <w:pStyle w:val="23"/>
        <w:widowControl w:val="0"/>
        <w:numPr>
          <w:ilvl w:val="0"/>
          <w:numId w:val="4"/>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本合同自双方法定代表人或委托代理人签字并盖章后生效，期限为：</w:t>
      </w:r>
      <w:r>
        <w:rPr>
          <w:rFonts w:ascii="Times New Roman" w:hAnsi="Times New Roman" w:eastAsia="仿宋_GB2312" w:cs="Times New Roman"/>
          <w:bCs/>
          <w:color w:val="auto"/>
          <w:highlight w:val="none"/>
          <w:lang w:val="en-US"/>
        </w:rPr>
        <w:t>XXXXX</w:t>
      </w:r>
      <w:r>
        <w:rPr>
          <w:rFonts w:hint="default" w:ascii="Times New Roman" w:hAnsi="Times New Roman" w:eastAsia="仿宋_GB2312" w:cs="Times New Roman"/>
          <w:bCs/>
          <w:color w:val="auto"/>
          <w:highlight w:val="none"/>
          <w:lang w:val="en-US"/>
        </w:rPr>
        <w:t>。</w:t>
      </w:r>
    </w:p>
    <w:p>
      <w:pPr>
        <w:pStyle w:val="23"/>
        <w:widowControl w:val="0"/>
        <w:numPr>
          <w:ilvl w:val="0"/>
          <w:numId w:val="4"/>
        </w:numPr>
        <w:tabs>
          <w:tab w:val="left" w:pos="567"/>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合同签订后，任何一方不得擅自变更或解除。如确有特殊原因需要变更或解除时，须提前15天与另一方协商一致，以书面形式签订补充协议。若双方同意解除合同，甲乙双方应通力协作，妥善处理合同解除后的有关结算和清理等事宜。</w:t>
      </w:r>
    </w:p>
    <w:p>
      <w:pPr>
        <w:pStyle w:val="23"/>
        <w:widowControl w:val="0"/>
        <w:numPr>
          <w:ilvl w:val="0"/>
          <w:numId w:val="4"/>
        </w:numPr>
        <w:tabs>
          <w:tab w:val="left" w:pos="567"/>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任何一方根据破产法提出破产申请或其它救济申请，或被裁定破产，或解散、或对债权人作任何转让、或被指定了清算组或类似人员，则在上述任何情况下，另一方可在任何时候以书面通知方式解除本合同。</w:t>
      </w:r>
    </w:p>
    <w:p>
      <w:pPr>
        <w:pStyle w:val="23"/>
        <w:widowControl w:val="0"/>
        <w:numPr>
          <w:ilvl w:val="0"/>
          <w:numId w:val="4"/>
        </w:numPr>
        <w:tabs>
          <w:tab w:val="left" w:pos="567"/>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凡在本合同解除或终止前双方间已发生而尚未了结的任何债务，或在本合同解除或终止前由于一方违约而产生的另一方的损害赔偿请求权，均不受本合同终止的影响。</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第八条 不可抗力</w:t>
      </w:r>
    </w:p>
    <w:p>
      <w:pPr>
        <w:pStyle w:val="23"/>
        <w:widowControl w:val="0"/>
        <w:numPr>
          <w:ilvl w:val="0"/>
          <w:numId w:val="5"/>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如果合同任何一方受诸如战争、严重的火灾、台风、地震、洪水、瘟疫以及任何其他不能预见、不能避免且不能克服的不可抗力事件的影响而无法履行合同项下的任何义务，受影响的合同一方应将此类事件的发生通知合同另一方，并应在不可抗力事件发生后14日内将有关政府或机构出具的证明文件提交给合同另一方。</w:t>
      </w:r>
    </w:p>
    <w:p>
      <w:pPr>
        <w:pStyle w:val="23"/>
        <w:widowControl w:val="0"/>
        <w:numPr>
          <w:ilvl w:val="0"/>
          <w:numId w:val="5"/>
        </w:numPr>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受不可抗力事项影响的合同一方对于不可抗力事件导致的任何合同义务的迟延履行或不能履行不承担责任。但该合同方应尽快将不可抗力事件结束或消除的情况通知合同另一方，并尽力减免损失。</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第九条 通知与送达</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本合同各方的书面通知以及司法文件送达地址以本合同载明的地址为准，合同未载明的，以各方工商登记注册地或户籍登记地为准。通过专人送递的，以签收之时视为送达；通过专递邮寄的，以签收、拒收、退回之日视为送达（以先到者为准）；通过电子数据传送的，以电子数据到达各方服务器时视为送达。</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第十条 争议的解决</w:t>
      </w:r>
    </w:p>
    <w:p>
      <w:pPr>
        <w:pStyle w:val="23"/>
        <w:widowControl w:val="0"/>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双方如在履行协议中发生争议，应协商解决，如协商不成，向甲方所在地人民法院提起诉讼。</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第十一条 其他事项</w:t>
      </w:r>
    </w:p>
    <w:p>
      <w:pPr>
        <w:pStyle w:val="23"/>
        <w:widowControl w:val="0"/>
        <w:numPr>
          <w:ilvl w:val="0"/>
          <w:numId w:val="6"/>
        </w:numPr>
        <w:tabs>
          <w:tab w:val="left" w:pos="567"/>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其他未尽事宜或变更条款，双方可另行协商签订补充协议，该补充协议条款若与原合同内容冲突，以补充协议为准。</w:t>
      </w:r>
    </w:p>
    <w:p>
      <w:pPr>
        <w:pStyle w:val="23"/>
        <w:widowControl w:val="0"/>
        <w:numPr>
          <w:ilvl w:val="0"/>
          <w:numId w:val="6"/>
        </w:numPr>
        <w:tabs>
          <w:tab w:val="left" w:pos="567"/>
          <w:tab w:val="left" w:pos="993"/>
        </w:tabs>
        <w:spacing w:line="240" w:lineRule="auto"/>
        <w:ind w:firstLine="480" w:firstLineChars="200"/>
        <w:jc w:val="both"/>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本协议一式肆份，双方各执贰份。</w:t>
      </w:r>
    </w:p>
    <w:tbl>
      <w:tblPr>
        <w:tblStyle w:val="15"/>
        <w:tblW w:w="8787" w:type="dxa"/>
        <w:tblInd w:w="0" w:type="dxa"/>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Layout w:type="fixed"/>
        <w:tblCellMar>
          <w:top w:w="0" w:type="dxa"/>
          <w:left w:w="0" w:type="dxa"/>
          <w:bottom w:w="0" w:type="dxa"/>
          <w:right w:w="0" w:type="dxa"/>
        </w:tblCellMar>
      </w:tblPr>
      <w:tblGrid>
        <w:gridCol w:w="4271"/>
        <w:gridCol w:w="4516"/>
      </w:tblGrid>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39" w:hRule="atLeast"/>
        </w:trPr>
        <w:tc>
          <w:tcPr>
            <w:tcW w:w="4271" w:type="dxa"/>
            <w:tcBorders>
              <w:top w:val="nil"/>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甲方（章）：四川蜀物路面材料有限公司</w:t>
            </w:r>
          </w:p>
        </w:tc>
        <w:tc>
          <w:tcPr>
            <w:tcW w:w="4516" w:type="dxa"/>
            <w:tcBorders>
              <w:top w:val="nil"/>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乙方（章）：</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法定代表人：</w:t>
            </w:r>
          </w:p>
        </w:tc>
        <w:tc>
          <w:tcPr>
            <w:tcW w:w="4516"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法定代表人：</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委托代理人：</w:t>
            </w:r>
          </w:p>
        </w:tc>
        <w:tc>
          <w:tcPr>
            <w:tcW w:w="4516"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委托代理人：</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地 址：成都市青羊区光华北五路266号</w:t>
            </w:r>
          </w:p>
        </w:tc>
        <w:tc>
          <w:tcPr>
            <w:tcW w:w="4516"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地 址：</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邮政编码：</w:t>
            </w:r>
          </w:p>
        </w:tc>
        <w:tc>
          <w:tcPr>
            <w:tcW w:w="4516"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 xml:space="preserve">邮政编码： </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联 系 人：</w:t>
            </w:r>
          </w:p>
        </w:tc>
        <w:tc>
          <w:tcPr>
            <w:tcW w:w="4516"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 xml:space="preserve">联 系 人： </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联系电话：</w:t>
            </w:r>
          </w:p>
        </w:tc>
        <w:tc>
          <w:tcPr>
            <w:tcW w:w="4516"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 xml:space="preserve">联系电话： </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传    真：</w:t>
            </w:r>
          </w:p>
        </w:tc>
        <w:tc>
          <w:tcPr>
            <w:tcW w:w="4516"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 xml:space="preserve">传    真： </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193" w:hRule="atLeast"/>
        </w:trPr>
        <w:tc>
          <w:tcPr>
            <w:tcW w:w="4271"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开 户 行：中国工商银行股份有限公司华蓥支行</w:t>
            </w:r>
          </w:p>
        </w:tc>
        <w:tc>
          <w:tcPr>
            <w:tcW w:w="4516" w:type="dxa"/>
            <w:tcBorders>
              <w:top w:val="single" w:color="FECC84" w:sz="4" w:space="0"/>
              <w:left w:val="nil"/>
              <w:bottom w:val="single" w:color="FECC84" w:sz="4" w:space="0"/>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开 户 行：</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64" w:hRule="atLeast"/>
        </w:trPr>
        <w:tc>
          <w:tcPr>
            <w:tcW w:w="4271"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账    号：2316555109100090739</w:t>
            </w:r>
          </w:p>
        </w:tc>
        <w:tc>
          <w:tcPr>
            <w:tcW w:w="4516" w:type="dxa"/>
            <w:tcBorders>
              <w:top w:val="single" w:color="FECC84" w:sz="4" w:space="0"/>
              <w:left w:val="nil"/>
              <w:bottom w:val="single" w:color="FECC84" w:sz="4" w:space="0"/>
              <w:right w:val="nil"/>
            </w:tcBorders>
            <w:shd w:val="clear" w:color="auto" w:fill="FFF7EF"/>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账  号：</w:t>
            </w:r>
          </w:p>
        </w:tc>
      </w:tr>
      <w:tr>
        <w:tblPrEx>
          <w:tblBorders>
            <w:top w:val="single" w:color="FECC84" w:sz="4" w:space="0"/>
            <w:left w:val="single" w:color="FECC84" w:sz="4" w:space="0"/>
            <w:bottom w:val="single" w:color="FECC84" w:sz="4" w:space="0"/>
            <w:right w:val="single" w:color="FECC84" w:sz="4" w:space="0"/>
            <w:insideH w:val="single" w:color="A89F97" w:sz="2" w:space="0"/>
            <w:insideV w:val="single" w:color="A89F97" w:sz="2" w:space="0"/>
          </w:tblBorders>
          <w:tblCellMar>
            <w:top w:w="0" w:type="dxa"/>
            <w:left w:w="0" w:type="dxa"/>
            <w:bottom w:w="0" w:type="dxa"/>
            <w:right w:w="0" w:type="dxa"/>
          </w:tblCellMar>
        </w:tblPrEx>
        <w:trPr>
          <w:trHeight w:val="359" w:hRule="atLeast"/>
        </w:trPr>
        <w:tc>
          <w:tcPr>
            <w:tcW w:w="4271" w:type="dxa"/>
            <w:tcBorders>
              <w:top w:val="single" w:color="FECC84" w:sz="4" w:space="0"/>
              <w:left w:val="nil"/>
              <w:bottom w:val="nil"/>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税    号：91511681MA635UT12K</w:t>
            </w:r>
          </w:p>
        </w:tc>
        <w:tc>
          <w:tcPr>
            <w:tcW w:w="4516" w:type="dxa"/>
            <w:tcBorders>
              <w:top w:val="single" w:color="FECC84" w:sz="4" w:space="0"/>
              <w:left w:val="nil"/>
              <w:bottom w:val="nil"/>
              <w:right w:val="nil"/>
            </w:tcBorders>
            <w:tcMar>
              <w:top w:w="80" w:type="dxa"/>
              <w:left w:w="80" w:type="dxa"/>
              <w:bottom w:w="80" w:type="dxa"/>
              <w:right w:w="80" w:type="dxa"/>
            </w:tcMar>
          </w:tcPr>
          <w:p>
            <w:pPr>
              <w:pStyle w:val="23"/>
              <w:widowControl w:val="0"/>
              <w:spacing w:line="240" w:lineRule="auto"/>
              <w:ind w:firstLine="0"/>
              <w:rPr>
                <w:rFonts w:hint="default" w:ascii="Times New Roman" w:hAnsi="Times New Roman" w:eastAsia="仿宋_GB2312" w:cs="Times New Roman"/>
                <w:bCs/>
                <w:color w:val="auto"/>
                <w:highlight w:val="none"/>
                <w:lang w:val="en-US"/>
              </w:rPr>
            </w:pPr>
            <w:r>
              <w:rPr>
                <w:rFonts w:hint="default" w:ascii="Times New Roman" w:hAnsi="Times New Roman" w:eastAsia="仿宋_GB2312" w:cs="Times New Roman"/>
                <w:bCs/>
                <w:color w:val="auto"/>
                <w:highlight w:val="none"/>
                <w:lang w:val="en-US"/>
              </w:rPr>
              <w:t>税  号：</w:t>
            </w:r>
          </w:p>
        </w:tc>
      </w:tr>
    </w:tbl>
    <w:p>
      <w:pPr>
        <w:pStyle w:val="2"/>
        <w:ind w:firstLine="480"/>
        <w:jc w:val="right"/>
        <w:rPr>
          <w:highlight w:val="none"/>
        </w:rPr>
      </w:pPr>
      <w:r>
        <w:rPr>
          <w:rFonts w:eastAsia="仿宋_GB2312"/>
          <w:bCs/>
          <w:kern w:val="0"/>
          <w:highlight w:val="none"/>
        </w:rPr>
        <w:t>签订日期：</w:t>
      </w:r>
      <w:r>
        <w:rPr>
          <w:rFonts w:hint="eastAsia" w:eastAsia="仿宋_GB2312"/>
          <w:bCs/>
          <w:kern w:val="0"/>
          <w:highlight w:val="none"/>
        </w:rPr>
        <w:t xml:space="preserve">        </w:t>
      </w:r>
      <w:r>
        <w:rPr>
          <w:rFonts w:eastAsia="仿宋_GB2312"/>
          <w:bCs/>
          <w:kern w:val="0"/>
          <w:highlight w:val="none"/>
        </w:rPr>
        <w:t>年</w:t>
      </w:r>
      <w:r>
        <w:rPr>
          <w:rFonts w:hint="eastAsia" w:eastAsia="仿宋_GB2312"/>
          <w:bCs/>
          <w:kern w:val="0"/>
          <w:highlight w:val="none"/>
        </w:rPr>
        <w:t xml:space="preserve">       </w:t>
      </w:r>
      <w:r>
        <w:rPr>
          <w:rFonts w:eastAsia="仿宋_GB2312"/>
          <w:bCs/>
          <w:kern w:val="0"/>
          <w:highlight w:val="none"/>
        </w:rPr>
        <w:t>月</w:t>
      </w:r>
      <w:r>
        <w:rPr>
          <w:rFonts w:hint="eastAsia" w:eastAsia="仿宋_GB2312"/>
          <w:bCs/>
          <w:kern w:val="0"/>
          <w:highlight w:val="none"/>
        </w:rPr>
        <w:t xml:space="preserve">        </w:t>
      </w:r>
      <w:r>
        <w:rPr>
          <w:rFonts w:eastAsia="仿宋_GB2312"/>
          <w:bCs/>
          <w:kern w:val="0"/>
          <w:highlight w:val="none"/>
        </w:rPr>
        <w:t>日</w:t>
      </w:r>
    </w:p>
    <w:p>
      <w:pPr>
        <w:spacing w:line="240" w:lineRule="auto"/>
        <w:ind w:firstLine="0" w:firstLineChars="0"/>
        <w:jc w:val="center"/>
        <w:rPr>
          <w:b/>
          <w:kern w:val="0"/>
          <w:sz w:val="24"/>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14620" w:type="dxa"/>
        <w:tblInd w:w="0" w:type="dxa"/>
        <w:tblLayout w:type="fixed"/>
        <w:tblCellMar>
          <w:top w:w="0" w:type="dxa"/>
          <w:left w:w="0" w:type="dxa"/>
          <w:bottom w:w="0" w:type="dxa"/>
          <w:right w:w="0" w:type="dxa"/>
        </w:tblCellMar>
      </w:tblPr>
      <w:tblGrid>
        <w:gridCol w:w="898"/>
        <w:gridCol w:w="1020"/>
        <w:gridCol w:w="870"/>
        <w:gridCol w:w="660"/>
        <w:gridCol w:w="855"/>
        <w:gridCol w:w="1455"/>
        <w:gridCol w:w="1350"/>
        <w:gridCol w:w="990"/>
        <w:gridCol w:w="1005"/>
        <w:gridCol w:w="735"/>
        <w:gridCol w:w="1320"/>
        <w:gridCol w:w="795"/>
        <w:gridCol w:w="870"/>
        <w:gridCol w:w="1166"/>
        <w:gridCol w:w="631"/>
      </w:tblGrid>
      <w:tr>
        <w:tblPrEx>
          <w:tblCellMar>
            <w:top w:w="0" w:type="dxa"/>
            <w:left w:w="0" w:type="dxa"/>
            <w:bottom w:w="0" w:type="dxa"/>
            <w:right w:w="0" w:type="dxa"/>
          </w:tblCellMar>
        </w:tblPrEx>
        <w:trPr>
          <w:trHeight w:val="950" w:hRule="atLeast"/>
        </w:trPr>
        <w:tc>
          <w:tcPr>
            <w:tcW w:w="14620" w:type="dxa"/>
            <w:gridSpan w:val="15"/>
            <w:tcBorders>
              <w:top w:val="nil"/>
              <w:left w:val="nil"/>
              <w:bottom w:val="nil"/>
              <w:right w:val="nil"/>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36"/>
                <w:szCs w:val="36"/>
                <w:highlight w:val="none"/>
              </w:rPr>
            </w:pPr>
            <w:r>
              <w:rPr>
                <w:rFonts w:eastAsia="黑体"/>
                <w:color w:val="000000"/>
                <w:kern w:val="0"/>
                <w:szCs w:val="32"/>
                <w:highlight w:val="none"/>
                <w:lang w:bidi="ar"/>
              </w:rPr>
              <w:t>附件1 四川蜀物路面材料有限公司运输结算单</w:t>
            </w:r>
            <w:r>
              <w:rPr>
                <w:rFonts w:eastAsia="黑体"/>
                <w:color w:val="000000"/>
                <w:kern w:val="0"/>
                <w:szCs w:val="32"/>
                <w:highlight w:val="none"/>
                <w:lang w:bidi="ar"/>
              </w:rPr>
              <w:br w:type="textWrapping"/>
            </w:r>
            <w:r>
              <w:rPr>
                <w:rFonts w:eastAsia="黑体"/>
                <w:color w:val="000000"/>
                <w:kern w:val="0"/>
                <w:szCs w:val="32"/>
                <w:highlight w:val="none"/>
                <w:lang w:bidi="ar"/>
              </w:rPr>
              <w:t>XXXX项目（第X期）</w:t>
            </w:r>
          </w:p>
        </w:tc>
      </w:tr>
      <w:tr>
        <w:tblPrEx>
          <w:tblCellMar>
            <w:top w:w="0" w:type="dxa"/>
            <w:left w:w="0" w:type="dxa"/>
            <w:bottom w:w="0" w:type="dxa"/>
            <w:right w:w="0" w:type="dxa"/>
          </w:tblCellMar>
        </w:tblPrEx>
        <w:trPr>
          <w:trHeight w:val="600" w:hRule="atLeast"/>
        </w:trPr>
        <w:tc>
          <w:tcPr>
            <w:tcW w:w="14620" w:type="dxa"/>
            <w:gridSpan w:val="15"/>
            <w:tcBorders>
              <w:top w:val="nil"/>
              <w:left w:val="nil"/>
              <w:bottom w:val="nil"/>
              <w:right w:val="nil"/>
            </w:tcBorders>
            <w:shd w:val="clear" w:color="auto" w:fill="auto"/>
            <w:tcMar>
              <w:top w:w="15" w:type="dxa"/>
              <w:left w:w="15" w:type="dxa"/>
              <w:right w:w="15" w:type="dxa"/>
            </w:tcMar>
            <w:vAlign w:val="center"/>
          </w:tcPr>
          <w:p>
            <w:pPr>
              <w:widowControl/>
              <w:spacing w:line="340" w:lineRule="exact"/>
              <w:ind w:firstLine="0" w:firstLineChars="0"/>
              <w:jc w:val="left"/>
              <w:textAlignment w:val="center"/>
              <w:rPr>
                <w:rFonts w:eastAsia="宋体"/>
                <w:b/>
                <w:color w:val="000000"/>
                <w:sz w:val="20"/>
                <w:szCs w:val="20"/>
                <w:highlight w:val="none"/>
              </w:rPr>
            </w:pPr>
            <w:r>
              <w:rPr>
                <w:rFonts w:eastAsia="宋体"/>
                <w:b/>
                <w:color w:val="000000"/>
                <w:kern w:val="0"/>
                <w:sz w:val="20"/>
                <w:szCs w:val="20"/>
                <w:highlight w:val="none"/>
                <w:lang w:bidi="ar"/>
              </w:rPr>
              <w:t>运输合同编号：                                                        结算起止时间：202</w:t>
            </w:r>
            <w:r>
              <w:rPr>
                <w:rFonts w:hint="eastAsia" w:eastAsia="宋体"/>
                <w:b/>
                <w:color w:val="000000"/>
                <w:kern w:val="0"/>
                <w:sz w:val="20"/>
                <w:szCs w:val="20"/>
                <w:highlight w:val="none"/>
                <w:lang w:val="en-US" w:eastAsia="zh-CN" w:bidi="ar"/>
              </w:rPr>
              <w:t>4</w:t>
            </w:r>
            <w:r>
              <w:rPr>
                <w:rFonts w:eastAsia="宋体"/>
                <w:b/>
                <w:color w:val="000000"/>
                <w:kern w:val="0"/>
                <w:sz w:val="20"/>
                <w:szCs w:val="20"/>
                <w:highlight w:val="none"/>
                <w:lang w:bidi="ar"/>
              </w:rPr>
              <w:t>年X月21日—202</w:t>
            </w:r>
            <w:r>
              <w:rPr>
                <w:rFonts w:hint="eastAsia" w:eastAsia="宋体"/>
                <w:b/>
                <w:color w:val="000000"/>
                <w:kern w:val="0"/>
                <w:sz w:val="20"/>
                <w:szCs w:val="20"/>
                <w:highlight w:val="none"/>
                <w:lang w:val="en-US" w:eastAsia="zh-CN" w:bidi="ar"/>
              </w:rPr>
              <w:t>4</w:t>
            </w:r>
            <w:r>
              <w:rPr>
                <w:rFonts w:eastAsia="宋体"/>
                <w:b/>
                <w:color w:val="000000"/>
                <w:kern w:val="0"/>
                <w:sz w:val="20"/>
                <w:szCs w:val="20"/>
                <w:highlight w:val="none"/>
                <w:lang w:bidi="ar"/>
              </w:rPr>
              <w:t>年X月20日</w:t>
            </w:r>
          </w:p>
        </w:tc>
      </w:tr>
      <w:tr>
        <w:tblPrEx>
          <w:tblCellMar>
            <w:top w:w="0" w:type="dxa"/>
            <w:left w:w="0" w:type="dxa"/>
            <w:bottom w:w="0" w:type="dxa"/>
            <w:right w:w="0" w:type="dxa"/>
          </w:tblCellMar>
        </w:tblPrEx>
        <w:trPr>
          <w:trHeight w:val="79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所属期间</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物资名称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收货单位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起始地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收货地</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 xml:space="preserve"> 出库数量（吨） </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 xml:space="preserve"> 收货数量（吨） </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 xml:space="preserve"> 磅差（吨）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运输单价</w:t>
            </w:r>
            <w:r>
              <w:rPr>
                <w:rFonts w:eastAsia="宋体"/>
                <w:color w:val="000000"/>
                <w:kern w:val="0"/>
                <w:sz w:val="20"/>
                <w:szCs w:val="20"/>
                <w:highlight w:val="none"/>
                <w:lang w:bidi="ar"/>
              </w:rPr>
              <w:br w:type="textWrapping"/>
            </w:r>
            <w:r>
              <w:rPr>
                <w:rFonts w:eastAsia="宋体"/>
                <w:color w:val="000000"/>
                <w:kern w:val="0"/>
                <w:sz w:val="20"/>
                <w:szCs w:val="20"/>
                <w:highlight w:val="none"/>
                <w:lang w:bidi="ar"/>
              </w:rPr>
              <w:t>（元/吨·KM）</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运距     （公里）</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单价</w:t>
            </w:r>
            <w:r>
              <w:rPr>
                <w:rFonts w:eastAsia="宋体"/>
                <w:color w:val="000000"/>
                <w:kern w:val="0"/>
                <w:sz w:val="20"/>
                <w:szCs w:val="20"/>
                <w:highlight w:val="none"/>
                <w:lang w:bidi="ar"/>
              </w:rPr>
              <w:br w:type="textWrapping"/>
            </w:r>
            <w:r>
              <w:rPr>
                <w:rFonts w:eastAsia="宋体"/>
                <w:color w:val="000000"/>
                <w:kern w:val="0"/>
                <w:sz w:val="20"/>
                <w:szCs w:val="20"/>
                <w:highlight w:val="none"/>
                <w:lang w:bidi="ar"/>
              </w:rPr>
              <w:t>（元/吨）</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总金额</w:t>
            </w:r>
            <w:r>
              <w:rPr>
                <w:rFonts w:eastAsia="宋体"/>
                <w:color w:val="000000"/>
                <w:kern w:val="0"/>
                <w:sz w:val="20"/>
                <w:szCs w:val="20"/>
                <w:highlight w:val="none"/>
                <w:lang w:bidi="ar"/>
              </w:rPr>
              <w:br w:type="textWrapping"/>
            </w:r>
            <w:r>
              <w:rPr>
                <w:rFonts w:eastAsia="宋体"/>
                <w:color w:val="000000"/>
                <w:kern w:val="0"/>
                <w:sz w:val="20"/>
                <w:szCs w:val="20"/>
                <w:highlight w:val="none"/>
                <w:lang w:bidi="ar"/>
              </w:rPr>
              <w:t>（元）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备注</w:t>
            </w:r>
          </w:p>
        </w:tc>
      </w:tr>
      <w:tr>
        <w:tblPrEx>
          <w:tblCellMar>
            <w:top w:w="0" w:type="dxa"/>
            <w:left w:w="0" w:type="dxa"/>
            <w:bottom w:w="0" w:type="dxa"/>
            <w:right w:w="0" w:type="dxa"/>
          </w:tblCellMar>
        </w:tblPrEx>
        <w:trPr>
          <w:trHeight w:val="473"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r>
      <w:tr>
        <w:tblPrEx>
          <w:tblCellMar>
            <w:top w:w="0" w:type="dxa"/>
            <w:left w:w="0" w:type="dxa"/>
            <w:bottom w:w="0" w:type="dxa"/>
            <w:right w:w="0" w:type="dxa"/>
          </w:tblCellMar>
        </w:tblPrEx>
        <w:trPr>
          <w:trHeight w:val="473"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r>
      <w:tr>
        <w:tblPrEx>
          <w:tblCellMar>
            <w:top w:w="0" w:type="dxa"/>
            <w:left w:w="0" w:type="dxa"/>
            <w:bottom w:w="0" w:type="dxa"/>
            <w:right w:w="0" w:type="dxa"/>
          </w:tblCellMar>
        </w:tblPrEx>
        <w:trPr>
          <w:trHeight w:val="473"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r>
      <w:tr>
        <w:tblPrEx>
          <w:tblCellMar>
            <w:top w:w="0" w:type="dxa"/>
            <w:left w:w="0" w:type="dxa"/>
            <w:bottom w:w="0" w:type="dxa"/>
            <w:right w:w="0" w:type="dxa"/>
          </w:tblCellMar>
        </w:tblPrEx>
        <w:trPr>
          <w:trHeight w:val="313"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b/>
                <w:color w:val="000000"/>
                <w:sz w:val="20"/>
                <w:szCs w:val="20"/>
                <w:highlight w:val="none"/>
              </w:rPr>
            </w:pPr>
            <w:r>
              <w:rPr>
                <w:rFonts w:eastAsia="宋体"/>
                <w:b/>
                <w:color w:val="000000"/>
                <w:kern w:val="0"/>
                <w:sz w:val="20"/>
                <w:szCs w:val="20"/>
                <w:highlight w:val="none"/>
                <w:lang w:bidi="ar"/>
              </w:rPr>
              <w:t>小计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r>
      <w:tr>
        <w:tblPrEx>
          <w:tblCellMar>
            <w:top w:w="0" w:type="dxa"/>
            <w:left w:w="0" w:type="dxa"/>
            <w:bottom w:w="0" w:type="dxa"/>
            <w:right w:w="0" w:type="dxa"/>
          </w:tblCellMar>
        </w:tblPrEx>
        <w:trPr>
          <w:trHeight w:val="328"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b/>
                <w:color w:val="000000"/>
                <w:sz w:val="20"/>
                <w:szCs w:val="20"/>
                <w:highlight w:val="none"/>
              </w:rPr>
            </w:pPr>
            <w:r>
              <w:rPr>
                <w:rFonts w:eastAsia="宋体"/>
                <w:b/>
                <w:color w:val="000000"/>
                <w:kern w:val="0"/>
                <w:sz w:val="20"/>
                <w:szCs w:val="20"/>
                <w:highlight w:val="none"/>
                <w:lang w:bidi="ar"/>
              </w:rPr>
              <w:t>总计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r>
      <w:tr>
        <w:tblPrEx>
          <w:tblCellMar>
            <w:top w:w="0" w:type="dxa"/>
            <w:left w:w="0" w:type="dxa"/>
            <w:bottom w:w="0" w:type="dxa"/>
            <w:right w:w="0" w:type="dxa"/>
          </w:tblCellMar>
        </w:tblPrEx>
        <w:trPr>
          <w:trHeight w:val="356" w:hRule="atLeast"/>
        </w:trPr>
        <w:tc>
          <w:tcPr>
            <w:tcW w:w="7108" w:type="dxa"/>
            <w:gridSpan w:val="7"/>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spacing w:line="340" w:lineRule="exact"/>
              <w:ind w:firstLine="0" w:firstLineChars="0"/>
              <w:jc w:val="center"/>
              <w:textAlignment w:val="center"/>
              <w:rPr>
                <w:rFonts w:eastAsia="宋体"/>
                <w:b/>
                <w:color w:val="000000"/>
                <w:sz w:val="20"/>
                <w:szCs w:val="20"/>
                <w:highlight w:val="none"/>
              </w:rPr>
            </w:pPr>
            <w:r>
              <w:rPr>
                <w:rFonts w:eastAsia="宋体"/>
                <w:b/>
                <w:color w:val="000000"/>
                <w:kern w:val="0"/>
                <w:sz w:val="20"/>
                <w:szCs w:val="20"/>
                <w:highlight w:val="none"/>
                <w:lang w:bidi="ar"/>
              </w:rPr>
              <w:t>本期暂扣金额</w:t>
            </w:r>
          </w:p>
        </w:tc>
        <w:tc>
          <w:tcPr>
            <w:tcW w:w="99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r>
      <w:tr>
        <w:tblPrEx>
          <w:tblCellMar>
            <w:top w:w="0" w:type="dxa"/>
            <w:left w:w="0" w:type="dxa"/>
            <w:bottom w:w="0" w:type="dxa"/>
            <w:right w:w="0" w:type="dxa"/>
          </w:tblCellMar>
        </w:tblPrEx>
        <w:trPr>
          <w:trHeight w:val="356" w:hRule="atLeast"/>
        </w:trPr>
        <w:tc>
          <w:tcPr>
            <w:tcW w:w="7108" w:type="dxa"/>
            <w:gridSpan w:val="7"/>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spacing w:line="340" w:lineRule="exact"/>
              <w:ind w:firstLine="0" w:firstLineChars="0"/>
              <w:jc w:val="center"/>
              <w:textAlignment w:val="center"/>
              <w:rPr>
                <w:rFonts w:eastAsia="宋体"/>
                <w:b/>
                <w:color w:val="000000"/>
                <w:sz w:val="20"/>
                <w:szCs w:val="20"/>
                <w:highlight w:val="none"/>
              </w:rPr>
            </w:pPr>
            <w:r>
              <w:rPr>
                <w:rFonts w:eastAsia="宋体"/>
                <w:b/>
                <w:color w:val="000000"/>
                <w:kern w:val="0"/>
                <w:sz w:val="20"/>
                <w:szCs w:val="20"/>
                <w:highlight w:val="none"/>
                <w:lang w:bidi="ar"/>
              </w:rPr>
              <w:t>本期实际支付运费</w:t>
            </w:r>
          </w:p>
        </w:tc>
        <w:tc>
          <w:tcPr>
            <w:tcW w:w="99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spacing w:line="340" w:lineRule="exact"/>
              <w:ind w:firstLine="0" w:firstLineChars="0"/>
              <w:rPr>
                <w:rFonts w:eastAsia="宋体"/>
                <w:b/>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D9D9D9"/>
            <w:noWrap/>
            <w:tcMar>
              <w:top w:w="15" w:type="dxa"/>
              <w:left w:w="15" w:type="dxa"/>
              <w:right w:w="15" w:type="dxa"/>
            </w:tcMar>
            <w:vAlign w:val="center"/>
          </w:tcPr>
          <w:p>
            <w:pPr>
              <w:spacing w:line="340" w:lineRule="exact"/>
              <w:ind w:firstLine="0" w:firstLineChars="0"/>
              <w:rPr>
                <w:rFonts w:eastAsia="宋体"/>
                <w:b/>
                <w:color w:val="000000"/>
                <w:sz w:val="24"/>
                <w:highlight w:val="none"/>
              </w:rPr>
            </w:pPr>
          </w:p>
        </w:tc>
      </w:tr>
      <w:tr>
        <w:tblPrEx>
          <w:tblCellMar>
            <w:top w:w="0" w:type="dxa"/>
            <w:left w:w="0" w:type="dxa"/>
            <w:bottom w:w="0" w:type="dxa"/>
            <w:right w:w="0" w:type="dxa"/>
          </w:tblCellMar>
        </w:tblPrEx>
        <w:trPr>
          <w:trHeight w:val="356" w:hRule="atLeast"/>
        </w:trPr>
        <w:tc>
          <w:tcPr>
            <w:tcW w:w="12823"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上期末剩余磅差抵扣款</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rPr>
                <w:rFonts w:eastAsia="宋体"/>
                <w:color w:val="000000"/>
                <w:sz w:val="24"/>
                <w:highlight w:val="none"/>
              </w:rPr>
            </w:pPr>
          </w:p>
        </w:tc>
      </w:tr>
      <w:tr>
        <w:tblPrEx>
          <w:tblCellMar>
            <w:top w:w="0" w:type="dxa"/>
            <w:left w:w="0" w:type="dxa"/>
            <w:bottom w:w="0" w:type="dxa"/>
            <w:right w:w="0" w:type="dxa"/>
          </w:tblCellMar>
        </w:tblPrEx>
        <w:trPr>
          <w:trHeight w:val="434" w:hRule="atLeast"/>
        </w:trPr>
        <w:tc>
          <w:tcPr>
            <w:tcW w:w="12823"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本期发生磅差款</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rPr>
                <w:rFonts w:eastAsia="宋体"/>
                <w:color w:val="000000"/>
                <w:sz w:val="24"/>
                <w:highlight w:val="none"/>
              </w:rPr>
            </w:pPr>
          </w:p>
        </w:tc>
      </w:tr>
      <w:tr>
        <w:tblPrEx>
          <w:tblCellMar>
            <w:top w:w="0" w:type="dxa"/>
            <w:left w:w="0" w:type="dxa"/>
            <w:bottom w:w="0" w:type="dxa"/>
            <w:right w:w="0" w:type="dxa"/>
          </w:tblCellMar>
        </w:tblPrEx>
        <w:trPr>
          <w:trHeight w:val="349" w:hRule="atLeast"/>
        </w:trPr>
        <w:tc>
          <w:tcPr>
            <w:tcW w:w="12823"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40" w:lineRule="exact"/>
              <w:ind w:firstLine="0" w:firstLineChars="0"/>
              <w:jc w:val="center"/>
              <w:textAlignment w:val="center"/>
              <w:rPr>
                <w:rFonts w:eastAsia="宋体"/>
                <w:color w:val="000000"/>
                <w:sz w:val="20"/>
                <w:szCs w:val="20"/>
                <w:highlight w:val="none"/>
              </w:rPr>
            </w:pPr>
            <w:r>
              <w:rPr>
                <w:rFonts w:eastAsia="宋体"/>
                <w:color w:val="000000"/>
                <w:kern w:val="0"/>
                <w:sz w:val="20"/>
                <w:szCs w:val="20"/>
                <w:highlight w:val="none"/>
                <w:lang w:bidi="ar"/>
              </w:rPr>
              <w:t>本期末剩余磅差抵扣款</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jc w:val="center"/>
              <w:rPr>
                <w:rFonts w:eastAsia="宋体"/>
                <w:b/>
                <w:color w:val="000000"/>
                <w:sz w:val="20"/>
                <w:szCs w:val="20"/>
                <w:highlight w:val="none"/>
              </w:rPr>
            </w:pP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340" w:lineRule="exact"/>
              <w:ind w:firstLine="0" w:firstLineChars="0"/>
              <w:rPr>
                <w:rFonts w:eastAsia="宋体"/>
                <w:color w:val="000000"/>
                <w:sz w:val="24"/>
                <w:highlight w:val="none"/>
              </w:rPr>
            </w:pPr>
          </w:p>
        </w:tc>
      </w:tr>
      <w:tr>
        <w:tblPrEx>
          <w:tblCellMar>
            <w:top w:w="0" w:type="dxa"/>
            <w:left w:w="0" w:type="dxa"/>
            <w:bottom w:w="0" w:type="dxa"/>
            <w:right w:w="0" w:type="dxa"/>
          </w:tblCellMar>
        </w:tblPrEx>
        <w:trPr>
          <w:trHeight w:val="424" w:hRule="atLeast"/>
        </w:trPr>
        <w:tc>
          <w:tcPr>
            <w:tcW w:w="1462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40" w:lineRule="exact"/>
              <w:ind w:firstLine="0" w:firstLineChars="0"/>
              <w:jc w:val="left"/>
              <w:textAlignment w:val="center"/>
              <w:rPr>
                <w:rFonts w:eastAsia="宋体"/>
                <w:b/>
                <w:color w:val="000000"/>
                <w:sz w:val="20"/>
                <w:szCs w:val="20"/>
                <w:highlight w:val="none"/>
              </w:rPr>
            </w:pPr>
            <w:r>
              <w:rPr>
                <w:rFonts w:eastAsia="宋体"/>
                <w:b/>
                <w:color w:val="000000"/>
                <w:kern w:val="0"/>
                <w:sz w:val="20"/>
                <w:szCs w:val="20"/>
                <w:highlight w:val="none"/>
                <w:lang w:bidi="ar"/>
              </w:rPr>
              <w:t>备注：按XXX合同价，70A普通沥青为XX元/吨，改性沥青XXX为XX元/吨计算磅差扣款。磅差抵扣金额仅用于数据统计，不作为结算依据。</w:t>
            </w:r>
          </w:p>
        </w:tc>
      </w:tr>
      <w:tr>
        <w:tblPrEx>
          <w:tblCellMar>
            <w:top w:w="0" w:type="dxa"/>
            <w:left w:w="0" w:type="dxa"/>
            <w:bottom w:w="0" w:type="dxa"/>
            <w:right w:w="0" w:type="dxa"/>
          </w:tblCellMar>
        </w:tblPrEx>
        <w:trPr>
          <w:trHeight w:val="522" w:hRule="atLeast"/>
        </w:trPr>
        <w:tc>
          <w:tcPr>
            <w:tcW w:w="14620" w:type="dxa"/>
            <w:gridSpan w:val="15"/>
            <w:tcBorders>
              <w:top w:val="nil"/>
              <w:left w:val="nil"/>
              <w:bottom w:val="nil"/>
              <w:right w:val="nil"/>
            </w:tcBorders>
            <w:shd w:val="clear" w:color="auto" w:fill="auto"/>
            <w:tcMar>
              <w:top w:w="15" w:type="dxa"/>
              <w:left w:w="15" w:type="dxa"/>
              <w:right w:w="15" w:type="dxa"/>
            </w:tcMar>
            <w:vAlign w:val="center"/>
          </w:tcPr>
          <w:p>
            <w:pPr>
              <w:widowControl/>
              <w:spacing w:line="340" w:lineRule="exact"/>
              <w:ind w:firstLine="0" w:firstLineChars="0"/>
              <w:jc w:val="left"/>
              <w:textAlignment w:val="center"/>
              <w:rPr>
                <w:rFonts w:eastAsia="宋体"/>
                <w:color w:val="000000"/>
                <w:sz w:val="20"/>
                <w:szCs w:val="20"/>
                <w:highlight w:val="none"/>
              </w:rPr>
            </w:pPr>
            <w:r>
              <w:rPr>
                <w:rFonts w:eastAsia="宋体"/>
                <w:color w:val="000000"/>
                <w:kern w:val="0"/>
                <w:sz w:val="20"/>
                <w:szCs w:val="20"/>
                <w:highlight w:val="none"/>
                <w:lang w:bidi="ar"/>
              </w:rPr>
              <w:t>委托单位（盖章）：四川蜀物路面材料有限公司                                                                         运输单位（盖章）：</w:t>
            </w:r>
          </w:p>
        </w:tc>
      </w:tr>
      <w:tr>
        <w:tblPrEx>
          <w:tblCellMar>
            <w:top w:w="0" w:type="dxa"/>
            <w:left w:w="0" w:type="dxa"/>
            <w:bottom w:w="0" w:type="dxa"/>
            <w:right w:w="0" w:type="dxa"/>
          </w:tblCellMar>
        </w:tblPrEx>
        <w:trPr>
          <w:trHeight w:val="343" w:hRule="atLeast"/>
        </w:trPr>
        <w:tc>
          <w:tcPr>
            <w:tcW w:w="898" w:type="dxa"/>
            <w:tcBorders>
              <w:top w:val="nil"/>
              <w:left w:val="nil"/>
              <w:bottom w:val="nil"/>
              <w:right w:val="nil"/>
            </w:tcBorders>
            <w:shd w:val="clear" w:color="auto" w:fill="auto"/>
            <w:noWrap/>
            <w:tcMar>
              <w:top w:w="15" w:type="dxa"/>
              <w:left w:w="15" w:type="dxa"/>
              <w:right w:w="15" w:type="dxa"/>
            </w:tcMar>
            <w:vAlign w:val="center"/>
          </w:tcPr>
          <w:p>
            <w:pPr>
              <w:widowControl/>
              <w:spacing w:line="340" w:lineRule="exact"/>
              <w:ind w:firstLine="0" w:firstLineChars="0"/>
              <w:jc w:val="left"/>
              <w:textAlignment w:val="center"/>
              <w:rPr>
                <w:rFonts w:eastAsia="宋体"/>
                <w:color w:val="000000"/>
                <w:sz w:val="20"/>
                <w:szCs w:val="20"/>
                <w:highlight w:val="none"/>
              </w:rPr>
            </w:pPr>
            <w:r>
              <w:rPr>
                <w:rFonts w:eastAsia="宋体"/>
                <w:color w:val="000000"/>
                <w:kern w:val="0"/>
                <w:sz w:val="20"/>
                <w:szCs w:val="20"/>
                <w:highlight w:val="none"/>
                <w:lang w:bidi="ar"/>
              </w:rPr>
              <w:t>经办人（签字）：</w:t>
            </w:r>
          </w:p>
        </w:tc>
        <w:tc>
          <w:tcPr>
            <w:tcW w:w="1020"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c>
          <w:tcPr>
            <w:tcW w:w="870"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c>
          <w:tcPr>
            <w:tcW w:w="660"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c>
          <w:tcPr>
            <w:tcW w:w="855"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c>
          <w:tcPr>
            <w:tcW w:w="1455" w:type="dxa"/>
            <w:tcBorders>
              <w:top w:val="nil"/>
              <w:left w:val="nil"/>
              <w:bottom w:val="nil"/>
              <w:right w:val="nil"/>
            </w:tcBorders>
            <w:shd w:val="clear" w:color="auto" w:fill="auto"/>
            <w:noWrap/>
            <w:tcMar>
              <w:top w:w="15" w:type="dxa"/>
              <w:left w:w="15" w:type="dxa"/>
              <w:right w:w="15" w:type="dxa"/>
            </w:tcMar>
            <w:vAlign w:val="center"/>
          </w:tcPr>
          <w:p>
            <w:pPr>
              <w:widowControl/>
              <w:spacing w:line="340" w:lineRule="exact"/>
              <w:ind w:firstLine="0" w:firstLineChars="0"/>
              <w:jc w:val="left"/>
              <w:textAlignment w:val="center"/>
              <w:rPr>
                <w:rFonts w:eastAsia="宋体"/>
                <w:color w:val="000000"/>
                <w:sz w:val="20"/>
                <w:szCs w:val="20"/>
                <w:highlight w:val="none"/>
              </w:rPr>
            </w:pPr>
            <w:r>
              <w:rPr>
                <w:rFonts w:eastAsia="宋体"/>
                <w:color w:val="000000"/>
                <w:kern w:val="0"/>
                <w:sz w:val="20"/>
                <w:szCs w:val="20"/>
                <w:highlight w:val="none"/>
                <w:lang w:bidi="ar"/>
              </w:rPr>
              <w:t>经办部门负责人（签字）：</w:t>
            </w:r>
          </w:p>
        </w:tc>
        <w:tc>
          <w:tcPr>
            <w:tcW w:w="1350"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2"/>
                <w:szCs w:val="22"/>
                <w:highlight w:val="none"/>
              </w:rPr>
            </w:pPr>
          </w:p>
        </w:tc>
        <w:tc>
          <w:tcPr>
            <w:tcW w:w="990"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c>
          <w:tcPr>
            <w:tcW w:w="1005"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c>
          <w:tcPr>
            <w:tcW w:w="735"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c>
          <w:tcPr>
            <w:tcW w:w="2115"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line="340" w:lineRule="exact"/>
              <w:ind w:firstLine="0" w:firstLineChars="0"/>
              <w:jc w:val="left"/>
              <w:textAlignment w:val="center"/>
              <w:rPr>
                <w:rFonts w:eastAsia="宋体"/>
                <w:color w:val="000000"/>
                <w:sz w:val="20"/>
                <w:szCs w:val="20"/>
                <w:highlight w:val="none"/>
              </w:rPr>
            </w:pPr>
            <w:r>
              <w:rPr>
                <w:rFonts w:eastAsia="宋体"/>
                <w:color w:val="000000"/>
                <w:kern w:val="0"/>
                <w:sz w:val="20"/>
                <w:szCs w:val="20"/>
                <w:highlight w:val="none"/>
                <w:lang w:bidi="ar"/>
              </w:rPr>
              <w:t>经办人（签字）：</w:t>
            </w:r>
          </w:p>
        </w:tc>
        <w:tc>
          <w:tcPr>
            <w:tcW w:w="870"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0"/>
                <w:szCs w:val="20"/>
                <w:highlight w:val="none"/>
              </w:rPr>
            </w:pPr>
          </w:p>
        </w:tc>
        <w:tc>
          <w:tcPr>
            <w:tcW w:w="1166"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2"/>
                <w:szCs w:val="22"/>
                <w:highlight w:val="none"/>
              </w:rPr>
            </w:pPr>
          </w:p>
        </w:tc>
        <w:tc>
          <w:tcPr>
            <w:tcW w:w="631" w:type="dxa"/>
            <w:tcBorders>
              <w:top w:val="nil"/>
              <w:left w:val="nil"/>
              <w:bottom w:val="nil"/>
              <w:right w:val="nil"/>
            </w:tcBorders>
            <w:shd w:val="clear" w:color="auto" w:fill="auto"/>
            <w:noWrap/>
            <w:tcMar>
              <w:top w:w="15" w:type="dxa"/>
              <w:left w:w="15" w:type="dxa"/>
              <w:right w:w="15" w:type="dxa"/>
            </w:tcMar>
            <w:vAlign w:val="center"/>
          </w:tcPr>
          <w:p>
            <w:pPr>
              <w:spacing w:line="340" w:lineRule="exact"/>
              <w:ind w:firstLine="0" w:firstLineChars="0"/>
              <w:jc w:val="left"/>
              <w:rPr>
                <w:rFonts w:eastAsia="宋体"/>
                <w:color w:val="000000"/>
                <w:sz w:val="24"/>
                <w:highlight w:val="none"/>
              </w:rPr>
            </w:pPr>
          </w:p>
        </w:tc>
      </w:tr>
    </w:tbl>
    <w:p>
      <w:pPr>
        <w:spacing w:line="340" w:lineRule="exact"/>
        <w:ind w:firstLine="0" w:firstLineChars="0"/>
        <w:jc w:val="center"/>
        <w:rPr>
          <w:b/>
          <w:kern w:val="0"/>
          <w:sz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uto"/>
        <w:ind w:firstLine="0" w:firstLineChars="0"/>
        <w:jc w:val="center"/>
        <w:rPr>
          <w:rFonts w:eastAsia="黑体"/>
          <w:color w:val="000000"/>
          <w:kern w:val="0"/>
          <w:szCs w:val="32"/>
          <w:highlight w:val="none"/>
          <w:lang w:bidi="ar"/>
        </w:rPr>
      </w:pPr>
      <w:r>
        <w:rPr>
          <w:rFonts w:eastAsia="黑体"/>
          <w:color w:val="000000"/>
          <w:kern w:val="0"/>
          <w:szCs w:val="32"/>
          <w:highlight w:val="none"/>
          <w:lang w:bidi="ar"/>
        </w:rPr>
        <w:t>附件2 安全管理协议（适用于公路运输）</w:t>
      </w:r>
    </w:p>
    <w:p>
      <w:pPr>
        <w:spacing w:line="240" w:lineRule="auto"/>
        <w:ind w:firstLine="480"/>
        <w:rPr>
          <w:bCs/>
          <w:kern w:val="0"/>
          <w:sz w:val="24"/>
          <w:highlight w:val="none"/>
        </w:rPr>
      </w:pPr>
      <w:r>
        <w:rPr>
          <w:bCs/>
          <w:kern w:val="0"/>
          <w:sz w:val="24"/>
          <w:highlight w:val="none"/>
        </w:rPr>
        <w:t>甲方：四川蜀物路面材料有限公司</w:t>
      </w:r>
    </w:p>
    <w:p>
      <w:pPr>
        <w:spacing w:line="240" w:lineRule="auto"/>
        <w:ind w:firstLine="480"/>
        <w:rPr>
          <w:bCs/>
          <w:kern w:val="0"/>
          <w:sz w:val="24"/>
          <w:highlight w:val="none"/>
        </w:rPr>
      </w:pPr>
      <w:r>
        <w:rPr>
          <w:bCs/>
          <w:kern w:val="0"/>
          <w:sz w:val="24"/>
          <w:highlight w:val="none"/>
        </w:rPr>
        <w:t>乙方：</w:t>
      </w:r>
    </w:p>
    <w:p>
      <w:pPr>
        <w:spacing w:line="240" w:lineRule="auto"/>
        <w:ind w:firstLine="480"/>
        <w:rPr>
          <w:bCs/>
          <w:kern w:val="0"/>
          <w:sz w:val="24"/>
          <w:highlight w:val="none"/>
        </w:rPr>
      </w:pPr>
      <w:r>
        <w:rPr>
          <w:bCs/>
          <w:kern w:val="0"/>
          <w:sz w:val="24"/>
          <w:highlight w:val="none"/>
        </w:rPr>
        <w:t>甲方将公司所属</w:t>
      </w:r>
      <w:r>
        <w:rPr>
          <w:rFonts w:hint="eastAsia"/>
          <w:bCs/>
          <w:kern w:val="0"/>
          <w:sz w:val="24"/>
          <w:highlight w:val="none"/>
          <w:u w:val="single"/>
        </w:rPr>
        <w:t xml:space="preserve">            </w:t>
      </w:r>
      <w:r>
        <w:rPr>
          <w:bCs/>
          <w:kern w:val="0"/>
          <w:sz w:val="24"/>
          <w:highlight w:val="none"/>
        </w:rPr>
        <w:t>运输业务交予乙方承接，为加强乙方的安全管理工作，贯彻执行“安全第一、预防为主、综合治理”的安全生产方针，确保安全文明生产并保障甲乙双方的合法利益，依照《中华人民共和国安全生产法》《中华人民共和国道路交通安全法》《中华人民共和国劳动法》《企业安全生产标准化基本规范》等</w:t>
      </w:r>
      <w:r>
        <w:rPr>
          <w:rFonts w:hint="eastAsia"/>
          <w:bCs/>
          <w:kern w:val="0"/>
          <w:sz w:val="24"/>
          <w:highlight w:val="none"/>
        </w:rPr>
        <w:t>法律</w:t>
      </w:r>
      <w:r>
        <w:rPr>
          <w:bCs/>
          <w:kern w:val="0"/>
          <w:sz w:val="24"/>
          <w:highlight w:val="none"/>
        </w:rPr>
        <w:t>法规和甲方安全管理相关制度规定，甲乙双方本着平等、自愿、协商一致的原则，签订本协议。</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一、适用范围</w:t>
      </w:r>
    </w:p>
    <w:p>
      <w:pPr>
        <w:spacing w:line="240" w:lineRule="auto"/>
        <w:ind w:firstLine="480"/>
        <w:rPr>
          <w:bCs/>
          <w:kern w:val="0"/>
          <w:sz w:val="24"/>
          <w:highlight w:val="none"/>
        </w:rPr>
      </w:pPr>
      <w:r>
        <w:rPr>
          <w:bCs/>
          <w:kern w:val="0"/>
          <w:sz w:val="24"/>
          <w:highlight w:val="none"/>
        </w:rPr>
        <w:t>本协议适用于乙方在合同约定范围内从事原材料供应、日常管理等相关工作，乙方对供应范围内的自身配备的设备、设施、操作人员的管理及使用甲方配套规定设施必须遵守国家有关法规、标准规范和甲方相关安全管理制度并符合本协议的规定和要求。</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二、协议内容</w:t>
      </w:r>
    </w:p>
    <w:p>
      <w:pPr>
        <w:spacing w:line="240" w:lineRule="auto"/>
        <w:ind w:firstLine="480"/>
        <w:rPr>
          <w:bCs/>
          <w:kern w:val="0"/>
          <w:sz w:val="24"/>
          <w:highlight w:val="none"/>
        </w:rPr>
      </w:pPr>
      <w:r>
        <w:rPr>
          <w:bCs/>
          <w:kern w:val="0"/>
          <w:sz w:val="24"/>
          <w:highlight w:val="none"/>
        </w:rPr>
        <w:t>（一）安全管理组织机构</w:t>
      </w:r>
    </w:p>
    <w:p>
      <w:pPr>
        <w:spacing w:line="240" w:lineRule="auto"/>
        <w:ind w:firstLine="480"/>
        <w:rPr>
          <w:bCs/>
          <w:kern w:val="0"/>
          <w:sz w:val="24"/>
          <w:highlight w:val="none"/>
        </w:rPr>
      </w:pPr>
      <w:r>
        <w:rPr>
          <w:bCs/>
          <w:kern w:val="0"/>
          <w:sz w:val="24"/>
          <w:highlight w:val="none"/>
        </w:rPr>
        <w:t>1.乙方需依照《中华人民共和国安全生产法》及相关法律法规的要求建立健全本单位的安全环保管理组织机构，履行单位安全、环保、职业卫生监督管理职责。</w:t>
      </w:r>
    </w:p>
    <w:p>
      <w:pPr>
        <w:spacing w:line="240" w:lineRule="auto"/>
        <w:ind w:firstLine="480"/>
        <w:rPr>
          <w:bCs/>
          <w:kern w:val="0"/>
          <w:sz w:val="24"/>
          <w:highlight w:val="none"/>
        </w:rPr>
      </w:pPr>
      <w:r>
        <w:rPr>
          <w:bCs/>
          <w:kern w:val="0"/>
          <w:sz w:val="24"/>
          <w:highlight w:val="none"/>
        </w:rPr>
        <w:t>2.乙方需指定一名专职或兼职安全管理人员，负责配合甲方执行本协议相关条款。</w:t>
      </w:r>
    </w:p>
    <w:p>
      <w:pPr>
        <w:spacing w:line="240" w:lineRule="auto"/>
        <w:ind w:firstLine="480"/>
        <w:rPr>
          <w:bCs/>
          <w:kern w:val="0"/>
          <w:sz w:val="24"/>
          <w:highlight w:val="none"/>
        </w:rPr>
      </w:pPr>
      <w:r>
        <w:rPr>
          <w:bCs/>
          <w:kern w:val="0"/>
          <w:sz w:val="24"/>
          <w:highlight w:val="none"/>
        </w:rPr>
        <w:t>3.乙方安全管理机构、安全管理人员必须依法恪尽职守，认真履行职责。</w:t>
      </w:r>
    </w:p>
    <w:p>
      <w:pPr>
        <w:spacing w:line="240" w:lineRule="auto"/>
        <w:ind w:firstLine="480"/>
        <w:rPr>
          <w:bCs/>
          <w:kern w:val="0"/>
          <w:sz w:val="24"/>
          <w:highlight w:val="none"/>
        </w:rPr>
      </w:pPr>
      <w:r>
        <w:rPr>
          <w:bCs/>
          <w:kern w:val="0"/>
          <w:sz w:val="24"/>
          <w:highlight w:val="none"/>
        </w:rPr>
        <w:t>（二）安全管理制度建设</w:t>
      </w:r>
    </w:p>
    <w:p>
      <w:pPr>
        <w:spacing w:line="240" w:lineRule="auto"/>
        <w:ind w:firstLine="480"/>
        <w:rPr>
          <w:bCs/>
          <w:kern w:val="0"/>
          <w:sz w:val="24"/>
          <w:highlight w:val="none"/>
        </w:rPr>
      </w:pPr>
      <w:r>
        <w:rPr>
          <w:bCs/>
          <w:kern w:val="0"/>
          <w:sz w:val="24"/>
          <w:highlight w:val="none"/>
        </w:rPr>
        <w:t>1.乙方需建立健全本单位符合法律规范要求的安全管理规章制度，包括但不局限于安全文明生产规章制度、职业卫生与环境保护规章制度、安全管理岗位职责、安全操作规程、安全教育培训制度、安全隐患排查与整改制度、安全奖惩等相关制度和作业程序，确保其满足安全生产管理的要求。</w:t>
      </w:r>
    </w:p>
    <w:p>
      <w:pPr>
        <w:spacing w:line="240" w:lineRule="auto"/>
        <w:ind w:firstLine="480"/>
        <w:rPr>
          <w:bCs/>
          <w:kern w:val="0"/>
          <w:sz w:val="24"/>
          <w:highlight w:val="none"/>
        </w:rPr>
      </w:pPr>
      <w:r>
        <w:rPr>
          <w:bCs/>
          <w:kern w:val="0"/>
          <w:sz w:val="24"/>
          <w:highlight w:val="none"/>
        </w:rPr>
        <w:t>2.甲方应将与乙方承包业务相关的本单位安全管理规定和要求向乙方进行交底并督促乙方执行。</w:t>
      </w:r>
    </w:p>
    <w:p>
      <w:pPr>
        <w:spacing w:line="240" w:lineRule="auto"/>
        <w:ind w:firstLine="480"/>
        <w:rPr>
          <w:bCs/>
          <w:kern w:val="0"/>
          <w:sz w:val="24"/>
          <w:highlight w:val="none"/>
        </w:rPr>
      </w:pPr>
      <w:r>
        <w:rPr>
          <w:bCs/>
          <w:kern w:val="0"/>
          <w:sz w:val="24"/>
          <w:highlight w:val="none"/>
        </w:rPr>
        <w:t>（三）安全教育与培训</w:t>
      </w:r>
    </w:p>
    <w:p>
      <w:pPr>
        <w:overflowPunct w:val="0"/>
        <w:spacing w:line="240" w:lineRule="auto"/>
        <w:ind w:firstLine="420" w:firstLineChars="0"/>
        <w:rPr>
          <w:bCs/>
          <w:kern w:val="0"/>
          <w:sz w:val="24"/>
          <w:highlight w:val="none"/>
        </w:rPr>
      </w:pPr>
      <w:r>
        <w:rPr>
          <w:bCs/>
          <w:kern w:val="0"/>
          <w:sz w:val="24"/>
          <w:highlight w:val="none"/>
        </w:rPr>
        <w:t>1.甲方负责将有关原材料供应管理的合理要求明确及时告知乙方，以帮助乙方作业人员了解甲方安全管理相关制度和规定；乙方应对其作业人员进行安全教育，做好教育培训记录和签字手续，并将资料收集齐全核对、存档、备查。过程中人员如有变动，应按规定做好培训教育，确保技能满足安全作业。</w:t>
      </w:r>
    </w:p>
    <w:p>
      <w:pPr>
        <w:spacing w:line="240" w:lineRule="auto"/>
        <w:ind w:firstLine="480"/>
        <w:rPr>
          <w:bCs/>
          <w:kern w:val="0"/>
          <w:sz w:val="24"/>
          <w:highlight w:val="none"/>
        </w:rPr>
      </w:pPr>
      <w:r>
        <w:rPr>
          <w:bCs/>
          <w:kern w:val="0"/>
          <w:sz w:val="24"/>
          <w:highlight w:val="none"/>
        </w:rPr>
        <w:t>2.乙方须加强安全教育，定期对参与供应的相关作业人员进行一次安全教育培训学习，学习覆盖率100%，提高从业人员安全意识，并须留下相关培训记录资料。</w:t>
      </w:r>
    </w:p>
    <w:p>
      <w:pPr>
        <w:spacing w:line="240" w:lineRule="auto"/>
        <w:ind w:firstLine="480"/>
        <w:rPr>
          <w:bCs/>
          <w:kern w:val="0"/>
          <w:sz w:val="24"/>
          <w:highlight w:val="none"/>
        </w:rPr>
      </w:pPr>
      <w:r>
        <w:rPr>
          <w:bCs/>
          <w:kern w:val="0"/>
          <w:sz w:val="24"/>
          <w:highlight w:val="none"/>
        </w:rPr>
        <w:t>3.甲方日常召开的与乙方业务相关的安全管理会议、安全培训需通知乙方相关管理和作业人员参加，会议及培训费用由乙方自行承担。</w:t>
      </w:r>
    </w:p>
    <w:p>
      <w:pPr>
        <w:spacing w:line="240" w:lineRule="auto"/>
        <w:ind w:firstLine="480"/>
        <w:rPr>
          <w:bCs/>
          <w:kern w:val="0"/>
          <w:sz w:val="24"/>
          <w:highlight w:val="none"/>
        </w:rPr>
      </w:pPr>
      <w:r>
        <w:rPr>
          <w:bCs/>
          <w:kern w:val="0"/>
          <w:sz w:val="24"/>
          <w:highlight w:val="none"/>
        </w:rPr>
        <w:t>（四）安全投入与个人劳动防护用品管理</w:t>
      </w:r>
    </w:p>
    <w:p>
      <w:pPr>
        <w:spacing w:line="240" w:lineRule="auto"/>
        <w:ind w:firstLine="480"/>
        <w:rPr>
          <w:bCs/>
          <w:kern w:val="0"/>
          <w:sz w:val="24"/>
          <w:highlight w:val="none"/>
        </w:rPr>
      </w:pPr>
      <w:r>
        <w:rPr>
          <w:bCs/>
          <w:kern w:val="0"/>
          <w:sz w:val="24"/>
          <w:highlight w:val="none"/>
        </w:rPr>
        <w:t>1.乙方需保证满足安全生产必要条件的资金投入，用于乙方相关人员的教育培训、安全隐患整改、环境保护、职业危害防护以及个人劳动防护用品配发等方面，并对由于安全生产所必需的资金投入不足导致的后果承担全部责任。</w:t>
      </w:r>
    </w:p>
    <w:p>
      <w:pPr>
        <w:spacing w:line="240" w:lineRule="auto"/>
        <w:ind w:firstLine="480"/>
        <w:rPr>
          <w:bCs/>
          <w:kern w:val="0"/>
          <w:sz w:val="24"/>
          <w:highlight w:val="none"/>
        </w:rPr>
      </w:pPr>
      <w:r>
        <w:rPr>
          <w:bCs/>
          <w:kern w:val="0"/>
          <w:sz w:val="24"/>
          <w:highlight w:val="none"/>
        </w:rPr>
        <w:t>2.乙方需根据实际作业需要为其作业人员配发符合标准要求的安全帽、警示背心、防尘口罩、耳塞、安全鞋等个人劳动防护用品，保证其正确使用和佩戴，并对因未按标准要求配备和使用劳动防护用品导致的人员伤害等后果承担全部责任。</w:t>
      </w:r>
    </w:p>
    <w:p>
      <w:pPr>
        <w:spacing w:line="240" w:lineRule="auto"/>
        <w:ind w:firstLine="480"/>
        <w:rPr>
          <w:bCs/>
          <w:kern w:val="0"/>
          <w:sz w:val="24"/>
          <w:highlight w:val="none"/>
        </w:rPr>
      </w:pPr>
      <w:r>
        <w:rPr>
          <w:bCs/>
          <w:kern w:val="0"/>
          <w:sz w:val="24"/>
          <w:highlight w:val="none"/>
        </w:rPr>
        <w:t>（五）安全隐患排查与治理</w:t>
      </w:r>
    </w:p>
    <w:p>
      <w:pPr>
        <w:spacing w:line="240" w:lineRule="auto"/>
        <w:ind w:firstLine="480"/>
        <w:rPr>
          <w:bCs/>
          <w:kern w:val="0"/>
          <w:sz w:val="24"/>
          <w:highlight w:val="none"/>
        </w:rPr>
      </w:pPr>
      <w:r>
        <w:rPr>
          <w:bCs/>
          <w:kern w:val="0"/>
          <w:sz w:val="24"/>
          <w:highlight w:val="none"/>
        </w:rPr>
        <w:t>1.乙方需建立本单位的安全隐患排查与整改制度，制定其在合同作业范围内的隐患排查操作程序、明确隐患排查与整改责任人，定期开展隐患排查并落实整改措施、保存隐患排查和整改记录台帐。</w:t>
      </w:r>
    </w:p>
    <w:p>
      <w:pPr>
        <w:spacing w:line="240" w:lineRule="auto"/>
        <w:ind w:firstLine="480"/>
        <w:rPr>
          <w:bCs/>
          <w:kern w:val="0"/>
          <w:sz w:val="24"/>
          <w:highlight w:val="none"/>
        </w:rPr>
      </w:pPr>
      <w:r>
        <w:rPr>
          <w:bCs/>
          <w:kern w:val="0"/>
          <w:sz w:val="24"/>
          <w:highlight w:val="none"/>
        </w:rPr>
        <w:t>2.乙方有责任对其承包合同作业范围内的主要危险源进行辨识，制定专项安全管理措施，明确安全管理责任人，并可向甲方提出技术协助和安全保障要求。</w:t>
      </w:r>
    </w:p>
    <w:p>
      <w:pPr>
        <w:spacing w:line="240" w:lineRule="auto"/>
        <w:ind w:firstLine="480"/>
        <w:rPr>
          <w:bCs/>
          <w:kern w:val="0"/>
          <w:sz w:val="24"/>
          <w:highlight w:val="none"/>
        </w:rPr>
      </w:pPr>
      <w:r>
        <w:rPr>
          <w:bCs/>
          <w:kern w:val="0"/>
          <w:sz w:val="24"/>
          <w:highlight w:val="none"/>
        </w:rPr>
        <w:t>3.甲方有权禁止乙方不合格的车辆及机械设备进场。在作业过程中发现乙方有使用不合格的车辆及机械设备时，甲方有权开具《隐患整改通知书》，要求其立即进行整改并追究其违约责任。</w:t>
      </w:r>
    </w:p>
    <w:p>
      <w:pPr>
        <w:spacing w:line="240" w:lineRule="auto"/>
        <w:ind w:firstLine="480"/>
        <w:rPr>
          <w:bCs/>
          <w:kern w:val="0"/>
          <w:sz w:val="24"/>
          <w:highlight w:val="none"/>
        </w:rPr>
      </w:pPr>
      <w:r>
        <w:rPr>
          <w:bCs/>
          <w:kern w:val="0"/>
          <w:sz w:val="24"/>
          <w:highlight w:val="none"/>
        </w:rPr>
        <w:t>4.甲方有权对安全素质差、不服从指挥的乙方管理人员、货车驾驶员及其他作业人员追究其违约责任或限期退场。</w:t>
      </w:r>
    </w:p>
    <w:p>
      <w:pPr>
        <w:spacing w:line="240" w:lineRule="auto"/>
        <w:ind w:firstLine="480"/>
        <w:rPr>
          <w:bCs/>
          <w:kern w:val="0"/>
          <w:sz w:val="24"/>
          <w:highlight w:val="none"/>
        </w:rPr>
      </w:pPr>
      <w:r>
        <w:rPr>
          <w:bCs/>
          <w:kern w:val="0"/>
          <w:sz w:val="24"/>
          <w:highlight w:val="none"/>
        </w:rPr>
        <w:t>5.乙方不得私自拆除或挪动甲方及甲方客户场所的各类安全防护设施安全标识、标牌；确因作业需要必须拆除或挪动的，必须经甲方现场负责人同意，并且采取必要、可靠的安全措施后方能拆除或挪动，相关工作完成后立即将安全防护设施恢复到位。</w:t>
      </w:r>
    </w:p>
    <w:p>
      <w:pPr>
        <w:spacing w:line="240" w:lineRule="auto"/>
        <w:ind w:firstLine="480"/>
        <w:rPr>
          <w:bCs/>
          <w:kern w:val="0"/>
          <w:sz w:val="24"/>
          <w:highlight w:val="none"/>
        </w:rPr>
      </w:pPr>
      <w:r>
        <w:rPr>
          <w:bCs/>
          <w:kern w:val="0"/>
          <w:sz w:val="24"/>
          <w:highlight w:val="none"/>
        </w:rPr>
        <w:t>6.乙方因维修、拖移等作业需要在甲方场所内用电、动火、起吊等作业的，必须建立完善内部危险作业审批，并报告甲方现场值班管理人员同意，由专业人员接电后（动火作业必须在甲方指定的地点），在保证安全的情况下方可施工。严禁乙方人员擅自接电用电、动火、起吊作业。</w:t>
      </w:r>
    </w:p>
    <w:p>
      <w:pPr>
        <w:spacing w:line="240" w:lineRule="auto"/>
        <w:ind w:firstLine="480"/>
        <w:rPr>
          <w:bCs/>
          <w:kern w:val="0"/>
          <w:sz w:val="24"/>
          <w:highlight w:val="none"/>
        </w:rPr>
      </w:pPr>
      <w:r>
        <w:rPr>
          <w:bCs/>
          <w:kern w:val="0"/>
          <w:sz w:val="24"/>
          <w:highlight w:val="none"/>
        </w:rPr>
        <w:t>7.乙方自带的中小型施工机具、手持电动工具及其他工具必须符合国家、地方和甲方的相关规定，按照标准规范进行使用和管理。</w:t>
      </w:r>
    </w:p>
    <w:p>
      <w:pPr>
        <w:tabs>
          <w:tab w:val="left" w:pos="5580"/>
          <w:tab w:val="left" w:pos="5760"/>
        </w:tabs>
        <w:spacing w:line="240" w:lineRule="auto"/>
        <w:ind w:firstLine="480"/>
        <w:rPr>
          <w:bCs/>
          <w:kern w:val="0"/>
          <w:sz w:val="24"/>
          <w:highlight w:val="none"/>
        </w:rPr>
      </w:pPr>
      <w:r>
        <w:rPr>
          <w:bCs/>
          <w:kern w:val="0"/>
          <w:sz w:val="24"/>
          <w:highlight w:val="none"/>
        </w:rPr>
        <w:t>8.乙方应确保本单位员工身体条件符合所从事工作的要求。</w:t>
      </w:r>
    </w:p>
    <w:p>
      <w:pPr>
        <w:spacing w:line="240" w:lineRule="auto"/>
        <w:ind w:firstLine="480"/>
        <w:rPr>
          <w:bCs/>
          <w:kern w:val="0"/>
          <w:sz w:val="24"/>
          <w:highlight w:val="none"/>
        </w:rPr>
      </w:pPr>
      <w:r>
        <w:rPr>
          <w:bCs/>
          <w:kern w:val="0"/>
          <w:sz w:val="24"/>
          <w:highlight w:val="none"/>
        </w:rPr>
        <w:t>9.乙方必须严格服从甲方的指挥、协调和管理，严格遵守施工现场、甲方各项规章制度，接受施工方、甲方的指导、监督、检查、考核和教育。对施工方或甲方查出的隐患及问题，必须在规定时限内无条件进行整改，直到验收合格后为止。</w:t>
      </w:r>
    </w:p>
    <w:p>
      <w:pPr>
        <w:spacing w:line="240" w:lineRule="auto"/>
        <w:ind w:firstLine="480"/>
        <w:rPr>
          <w:bCs/>
          <w:kern w:val="0"/>
          <w:sz w:val="24"/>
          <w:highlight w:val="none"/>
        </w:rPr>
      </w:pPr>
      <w:r>
        <w:rPr>
          <w:bCs/>
          <w:kern w:val="0"/>
          <w:sz w:val="24"/>
          <w:highlight w:val="none"/>
        </w:rPr>
        <w:t>10.乙方对自身的安全生产工作进行自查，发现隐患必须立即进行整改。需要停工整改的，必须编制整改方案，并应报甲方审核或施工方批准后方可实施。整改完毕，并经甲方或施工方验收合格后方可继续施工。</w:t>
      </w:r>
    </w:p>
    <w:p>
      <w:pPr>
        <w:spacing w:line="240" w:lineRule="auto"/>
        <w:ind w:firstLine="480"/>
        <w:rPr>
          <w:bCs/>
          <w:kern w:val="0"/>
          <w:sz w:val="24"/>
          <w:highlight w:val="none"/>
        </w:rPr>
      </w:pPr>
      <w:r>
        <w:rPr>
          <w:bCs/>
          <w:kern w:val="0"/>
          <w:sz w:val="24"/>
          <w:highlight w:val="none"/>
        </w:rPr>
        <w:t>11.乙方不得违章指挥或强令工人冒险作业，对甲方人员违章指挥或者可能危及人身安全、财产损失的指挥，乙方有权拒绝。</w:t>
      </w:r>
    </w:p>
    <w:p>
      <w:pPr>
        <w:spacing w:line="240" w:lineRule="auto"/>
        <w:ind w:firstLine="480"/>
        <w:rPr>
          <w:bCs/>
          <w:kern w:val="0"/>
          <w:sz w:val="24"/>
          <w:highlight w:val="none"/>
        </w:rPr>
      </w:pPr>
      <w:r>
        <w:rPr>
          <w:bCs/>
          <w:kern w:val="0"/>
          <w:sz w:val="24"/>
          <w:highlight w:val="none"/>
        </w:rPr>
        <w:t>12.甲方组织的定期安全隐患排查需覆盖乙方的作业区域和乙方的安全管理制度，乙方需配合甲方的上述检查并就甲方开具的隐患整改通知单按规范要求进行及时期整改。</w:t>
      </w:r>
    </w:p>
    <w:p>
      <w:pPr>
        <w:spacing w:line="240" w:lineRule="auto"/>
        <w:ind w:firstLine="480"/>
        <w:rPr>
          <w:bCs/>
          <w:kern w:val="0"/>
          <w:sz w:val="24"/>
          <w:highlight w:val="none"/>
        </w:rPr>
      </w:pPr>
      <w:r>
        <w:rPr>
          <w:bCs/>
          <w:kern w:val="0"/>
          <w:sz w:val="24"/>
          <w:highlight w:val="none"/>
        </w:rPr>
        <w:t>（六）职业健康与环境保护</w:t>
      </w:r>
    </w:p>
    <w:p>
      <w:pPr>
        <w:spacing w:line="240" w:lineRule="auto"/>
        <w:ind w:firstLine="480"/>
        <w:rPr>
          <w:bCs/>
          <w:kern w:val="0"/>
          <w:sz w:val="24"/>
          <w:highlight w:val="none"/>
        </w:rPr>
      </w:pPr>
      <w:r>
        <w:rPr>
          <w:bCs/>
          <w:kern w:val="0"/>
          <w:sz w:val="24"/>
          <w:highlight w:val="none"/>
        </w:rPr>
        <w:t>1.乙方必须做好运输、装卸等过程中的安全和环境等保护，确保入场设备安全性能、人员健康状况和作业技能等符合规定，车辆及安全附属装置经检测合格,车辆按规定购置足额保险，为作业人员购置工伤保险及人身意外险;作业时严格执行国家、行业有关法规、标准规范、安全操作规程，遵守甲方现场规定和入场告知。</w:t>
      </w:r>
    </w:p>
    <w:p>
      <w:pPr>
        <w:spacing w:line="240" w:lineRule="auto"/>
        <w:ind w:firstLine="480"/>
        <w:rPr>
          <w:bCs/>
          <w:kern w:val="0"/>
          <w:sz w:val="24"/>
          <w:highlight w:val="none"/>
        </w:rPr>
      </w:pPr>
      <w:r>
        <w:rPr>
          <w:bCs/>
          <w:kern w:val="0"/>
          <w:sz w:val="24"/>
          <w:highlight w:val="none"/>
        </w:rPr>
        <w:t>2.乙方应将进场驾驶员的相关信息报甲方备案（驾驶证、身份证、安全培训情况等）；到达卸货地要听从甲方现场工作及管理人员指挥，服从现场安全文明和环保管理，正确佩戴安全帽、反光背心、防尘口罩、耳塞等劳动保护用品。进出场应减速注意避让行人和作业车辆，禁止鸣笛，不得踩急刹车等，如发生给予400-600元/次处罚。</w:t>
      </w:r>
    </w:p>
    <w:p>
      <w:pPr>
        <w:spacing w:line="240" w:lineRule="auto"/>
        <w:ind w:firstLine="480"/>
        <w:rPr>
          <w:bCs/>
          <w:kern w:val="0"/>
          <w:sz w:val="24"/>
          <w:highlight w:val="none"/>
        </w:rPr>
      </w:pPr>
      <w:r>
        <w:rPr>
          <w:bCs/>
          <w:kern w:val="0"/>
          <w:sz w:val="24"/>
          <w:highlight w:val="none"/>
        </w:rPr>
        <w:t>3.乙方应加强驾驶员安全教育和卸料操作规程培训，从业人员无职业禁忌症并按规定持证上岗；禁止与作业无关人员进入甲方生产场内，乙方人员未经许可不得进入砂石料场、机修车间等非卸料区域，不得私自动用甲方场内各类设施；在进入甲方场地过磅、行驶、卸料时应小心谨慎驾驶操作，避免出现擦挂、碰撞等安全事故。</w:t>
      </w:r>
    </w:p>
    <w:p>
      <w:pPr>
        <w:spacing w:line="240" w:lineRule="auto"/>
        <w:ind w:firstLine="480"/>
        <w:rPr>
          <w:bCs/>
          <w:kern w:val="0"/>
          <w:sz w:val="24"/>
          <w:highlight w:val="none"/>
        </w:rPr>
      </w:pPr>
      <w:r>
        <w:rPr>
          <w:bCs/>
          <w:kern w:val="0"/>
          <w:sz w:val="24"/>
          <w:highlight w:val="none"/>
        </w:rPr>
        <w:t>4.若乙方车辆在甲方场地发生损坏甲方设施的事故，原则上由甲方组织有相关资质的维修队伍进行修复，修复费用由乙方承担，同时甲方还将按修复费用的20%追加对乙方处罚（修复费用及处罚可在运输结算款中抵扣或乙方现金交纳）； 若因乙方管理或设施故障缺陷、违章违规操作或驾驶操作不当等原因发生其它安全生产事故，由乙方承担全部责任和相关费用，甲方将视损失情况对乙方处以壹仟元以上处罚，如有发生肇事逃逸的甲方将加倍处罚。</w:t>
      </w:r>
    </w:p>
    <w:p>
      <w:pPr>
        <w:spacing w:line="240" w:lineRule="auto"/>
        <w:ind w:firstLine="480"/>
        <w:rPr>
          <w:bCs/>
          <w:kern w:val="0"/>
          <w:sz w:val="24"/>
          <w:highlight w:val="none"/>
        </w:rPr>
      </w:pPr>
      <w:r>
        <w:rPr>
          <w:bCs/>
          <w:kern w:val="0"/>
          <w:sz w:val="24"/>
          <w:highlight w:val="none"/>
        </w:rPr>
        <w:t>5.乙方驾驶员要爱护甲方的各项设备和环境卫生，不得随地扔烟头、杂物、赤膊、小便等不文明行为，如发生一次处罚100-400元处罚。</w:t>
      </w:r>
    </w:p>
    <w:p>
      <w:pPr>
        <w:spacing w:line="240" w:lineRule="auto"/>
        <w:ind w:firstLine="480"/>
        <w:rPr>
          <w:bCs/>
          <w:kern w:val="0"/>
          <w:sz w:val="24"/>
          <w:highlight w:val="none"/>
        </w:rPr>
      </w:pPr>
      <w:r>
        <w:rPr>
          <w:bCs/>
          <w:kern w:val="0"/>
          <w:sz w:val="24"/>
          <w:highlight w:val="none"/>
        </w:rPr>
        <w:t>6.乙方在卸料作业结束后，人员、车辆离开甲方生产现场之前，因乙方违反上述约定或其它自身原因，给甲方及现场第三方设施、周围环境、及现场人员、财产造成损害的，由乙方承担事故责任和有关费用赔偿及损失。</w:t>
      </w:r>
    </w:p>
    <w:p>
      <w:pPr>
        <w:spacing w:line="240" w:lineRule="auto"/>
        <w:ind w:firstLine="480"/>
        <w:rPr>
          <w:bCs/>
          <w:kern w:val="0"/>
          <w:sz w:val="24"/>
          <w:highlight w:val="none"/>
        </w:rPr>
      </w:pPr>
      <w:r>
        <w:rPr>
          <w:bCs/>
          <w:kern w:val="0"/>
          <w:sz w:val="24"/>
          <w:highlight w:val="none"/>
        </w:rPr>
        <w:t>7.若遇纠纷情况，应由双方相关负责人协调解决；甲方有权暂扣运输小票，待双方处理完成问题后再返还运输小票。任何一方不得以不文明甚至威胁、暴力行为对待另一方。若有违反，将视事件情况处以1000至10000元的处罚。</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三、双方约定的其他条款</w:t>
      </w:r>
    </w:p>
    <w:p>
      <w:pPr>
        <w:spacing w:line="240" w:lineRule="auto"/>
        <w:ind w:firstLine="480"/>
        <w:rPr>
          <w:bCs/>
          <w:kern w:val="0"/>
          <w:sz w:val="24"/>
          <w:highlight w:val="none"/>
        </w:rPr>
      </w:pPr>
      <w:r>
        <w:rPr>
          <w:bCs/>
          <w:kern w:val="0"/>
          <w:sz w:val="24"/>
          <w:highlight w:val="none"/>
        </w:rPr>
        <w:t>（一）乙方在供应作业范围内的驾驶作业人员必须依照国家交通管理相关法规取得货运从业资格证书后方可上岗作业，同时需向甲方报送驾驶作业人员名单和资质复印件用于审查和备案，并接受甲方的监督和管理。</w:t>
      </w:r>
    </w:p>
    <w:p>
      <w:pPr>
        <w:spacing w:line="240" w:lineRule="auto"/>
        <w:ind w:firstLine="480"/>
        <w:rPr>
          <w:bCs/>
          <w:kern w:val="0"/>
          <w:sz w:val="24"/>
          <w:highlight w:val="none"/>
        </w:rPr>
      </w:pPr>
      <w:r>
        <w:rPr>
          <w:bCs/>
          <w:kern w:val="0"/>
          <w:sz w:val="24"/>
          <w:highlight w:val="none"/>
        </w:rPr>
        <w:t>（二）乙方驾驶员必须遵守交通安全法的操作规范、要求，乙方违反交通安全操作规范、规程造成的各类安全事故由乙方承担全部责任，并赔偿相关方的经济损失。</w:t>
      </w:r>
    </w:p>
    <w:p>
      <w:pPr>
        <w:spacing w:line="240" w:lineRule="auto"/>
        <w:ind w:firstLine="480"/>
        <w:rPr>
          <w:bCs/>
          <w:kern w:val="0"/>
          <w:sz w:val="24"/>
          <w:highlight w:val="none"/>
        </w:rPr>
      </w:pPr>
      <w:r>
        <w:rPr>
          <w:bCs/>
          <w:kern w:val="0"/>
          <w:sz w:val="24"/>
          <w:highlight w:val="none"/>
        </w:rPr>
        <w:t>（三）乙方原材料运输车应提前检查生产场所是否具备安全作业条件，如果不具备安全条件的应立即上报甲方管理人员督促施工方整改，经整改合格后方可作业，严禁在不具备安全作业条件的场所冒险违章作业。</w:t>
      </w:r>
    </w:p>
    <w:p>
      <w:pPr>
        <w:spacing w:line="240" w:lineRule="auto"/>
        <w:ind w:firstLine="480"/>
        <w:rPr>
          <w:bCs/>
          <w:kern w:val="0"/>
          <w:sz w:val="24"/>
          <w:highlight w:val="none"/>
        </w:rPr>
      </w:pPr>
      <w:r>
        <w:rPr>
          <w:bCs/>
          <w:kern w:val="0"/>
          <w:sz w:val="24"/>
          <w:highlight w:val="none"/>
        </w:rPr>
        <w:t>（四）乙方原材料运输车进入甲方场所，应遵守甲方厂区道路交通安全要求，按照道路交通安全标志安全行驶、停车。</w:t>
      </w:r>
    </w:p>
    <w:p>
      <w:pPr>
        <w:spacing w:line="240" w:lineRule="auto"/>
        <w:ind w:firstLine="480"/>
        <w:rPr>
          <w:bCs/>
          <w:kern w:val="0"/>
          <w:sz w:val="24"/>
          <w:highlight w:val="none"/>
        </w:rPr>
      </w:pPr>
      <w:r>
        <w:rPr>
          <w:bCs/>
          <w:kern w:val="0"/>
          <w:sz w:val="24"/>
          <w:highlight w:val="none"/>
        </w:rPr>
        <w:t>（五）乙方应积极配合甲方组织的安全例检（站点日常巡查、环境安全处月度检查、公司季度检查及专检等）对甲方检查中开出的安全整改项目须按时按标准要求整改到位。</w:t>
      </w:r>
    </w:p>
    <w:p>
      <w:pPr>
        <w:spacing w:line="240" w:lineRule="auto"/>
        <w:ind w:firstLine="480"/>
        <w:rPr>
          <w:bCs/>
          <w:kern w:val="0"/>
          <w:sz w:val="24"/>
          <w:highlight w:val="none"/>
        </w:rPr>
      </w:pPr>
      <w:r>
        <w:rPr>
          <w:bCs/>
          <w:kern w:val="0"/>
          <w:sz w:val="24"/>
          <w:highlight w:val="none"/>
        </w:rPr>
        <w:t>（六）乙方应不定期按甲方要求提供安全管理过程自查报告、车辆年审到期台账、驾驶员持证到期台账，其中自查报告在整改期限内形成整改回执单发送给甲方。</w:t>
      </w:r>
    </w:p>
    <w:p>
      <w:pPr>
        <w:spacing w:line="240" w:lineRule="auto"/>
        <w:ind w:firstLine="480"/>
        <w:rPr>
          <w:bCs/>
          <w:kern w:val="0"/>
          <w:sz w:val="24"/>
          <w:highlight w:val="none"/>
        </w:rPr>
      </w:pPr>
      <w:r>
        <w:rPr>
          <w:bCs/>
          <w:kern w:val="0"/>
          <w:sz w:val="24"/>
          <w:highlight w:val="none"/>
        </w:rPr>
        <w:t>（七）乙方因作业需要引入外协作业的安全管理和安全责任由乙方承担，协作单位必须具备相应资质和具备安全生产条件，作业前应报告甲方。</w:t>
      </w:r>
    </w:p>
    <w:p>
      <w:pPr>
        <w:spacing w:line="240" w:lineRule="auto"/>
        <w:ind w:firstLine="480"/>
        <w:rPr>
          <w:bCs/>
          <w:kern w:val="0"/>
          <w:sz w:val="24"/>
          <w:highlight w:val="none"/>
        </w:rPr>
      </w:pPr>
      <w:r>
        <w:rPr>
          <w:bCs/>
          <w:kern w:val="0"/>
          <w:sz w:val="24"/>
          <w:highlight w:val="none"/>
        </w:rPr>
        <w:t>（八）乙方需制定本单位在承包作业范围内的应急救援预案、建立应急救援管理体系、配备用于应急救援的人员、物资和设备实施等，并定期组织培训演练。</w:t>
      </w:r>
    </w:p>
    <w:p>
      <w:pPr>
        <w:spacing w:line="240" w:lineRule="auto"/>
        <w:ind w:firstLine="480"/>
        <w:rPr>
          <w:bCs/>
          <w:kern w:val="0"/>
          <w:sz w:val="24"/>
          <w:highlight w:val="none"/>
        </w:rPr>
      </w:pPr>
      <w:r>
        <w:rPr>
          <w:bCs/>
          <w:kern w:val="0"/>
          <w:sz w:val="24"/>
          <w:highlight w:val="none"/>
        </w:rPr>
        <w:t>（九）乙方作业范围内若发生工伤事故或群体性事件，必须按照现行的《安全生产法》、《建设工程安全生产管理条例》和《生产安全事故报告和调查处理条例》等相关规定进行报告、应急救援和调查处理。</w:t>
      </w:r>
    </w:p>
    <w:p>
      <w:pPr>
        <w:snapToGrid w:val="0"/>
        <w:spacing w:line="240" w:lineRule="auto"/>
        <w:ind w:firstLine="555" w:firstLineChars="0"/>
        <w:rPr>
          <w:bCs/>
          <w:kern w:val="0"/>
          <w:sz w:val="24"/>
          <w:highlight w:val="none"/>
        </w:rPr>
      </w:pPr>
      <w:r>
        <w:rPr>
          <w:bCs/>
          <w:kern w:val="0"/>
          <w:sz w:val="24"/>
          <w:highlight w:val="none"/>
        </w:rPr>
        <w:t>（十）由于第三方责任导致乙方人员伤亡或财产损失，及由于乙方责任导致第三方人员伤亡或财产损失，由乙方负责并处理。</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四、违约责任</w:t>
      </w:r>
    </w:p>
    <w:p>
      <w:pPr>
        <w:spacing w:line="240" w:lineRule="auto"/>
        <w:ind w:firstLine="480"/>
        <w:rPr>
          <w:bCs/>
          <w:kern w:val="0"/>
          <w:sz w:val="24"/>
          <w:highlight w:val="none"/>
        </w:rPr>
      </w:pPr>
      <w:r>
        <w:rPr>
          <w:bCs/>
          <w:kern w:val="0"/>
          <w:sz w:val="24"/>
          <w:highlight w:val="none"/>
        </w:rPr>
        <w:t>（一）乙方应认真履行供应合同、服从甲方的安全管理、环保管理、治安管理、安全技术交底及本协议的各项要求，乙方发生安全、环保事故及治安案件的，自行承担全部违约、赔偿及有关法律责任；情节严重的，甲方有权终止合同并保留追偿权利。</w:t>
      </w:r>
    </w:p>
    <w:p>
      <w:pPr>
        <w:spacing w:line="240" w:lineRule="auto"/>
        <w:ind w:firstLine="480"/>
        <w:rPr>
          <w:bCs/>
          <w:kern w:val="0"/>
          <w:sz w:val="24"/>
          <w:highlight w:val="none"/>
        </w:rPr>
      </w:pPr>
      <w:r>
        <w:rPr>
          <w:bCs/>
          <w:kern w:val="0"/>
          <w:sz w:val="24"/>
          <w:highlight w:val="none"/>
        </w:rPr>
        <w:t>（二）乙方作业人员不遵守安全操作规程违规操作，违反合同约定内容及甲方安全环保管理规定的，乙方未按要求整改安全管理、机器设备、作业人员的缺陷，甲方有权视情况给予经济处罚。对给甲方造成损失的，甲方有权按照损失金额向乙方进行追偿；对情节特别严重的，甲方有权终止合同。</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五、其他</w:t>
      </w:r>
    </w:p>
    <w:p>
      <w:pPr>
        <w:spacing w:line="240" w:lineRule="auto"/>
        <w:ind w:firstLine="480"/>
        <w:rPr>
          <w:bCs/>
          <w:kern w:val="0"/>
          <w:sz w:val="24"/>
          <w:highlight w:val="none"/>
        </w:rPr>
      </w:pPr>
      <w:r>
        <w:rPr>
          <w:bCs/>
          <w:kern w:val="0"/>
          <w:sz w:val="24"/>
          <w:highlight w:val="none"/>
        </w:rPr>
        <w:t>本协议执行过程中，未尽事宜双方协商解决，当甲、乙双方发生争议时，可通过上级主管部门协商调解，若不能达成一致意见，可向甲方企业注册地人民法院提起诉讼。</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六、协议签订</w:t>
      </w:r>
    </w:p>
    <w:p>
      <w:pPr>
        <w:spacing w:line="240" w:lineRule="auto"/>
        <w:ind w:firstLine="480"/>
        <w:rPr>
          <w:bCs/>
          <w:kern w:val="0"/>
          <w:sz w:val="24"/>
          <w:highlight w:val="none"/>
        </w:rPr>
      </w:pPr>
      <w:r>
        <w:rPr>
          <w:bCs/>
          <w:kern w:val="0"/>
          <w:sz w:val="24"/>
          <w:highlight w:val="none"/>
        </w:rPr>
        <w:t>（一）本协议原则上由甲乙双方法定代表人签字，加盖公章后生效，若法定代表人因其他原因不能签字的，可授权委托他人签字，但必须出具授权委托书，并作为本协议的附件。</w:t>
      </w:r>
    </w:p>
    <w:p>
      <w:pPr>
        <w:spacing w:line="240" w:lineRule="auto"/>
        <w:ind w:firstLine="480"/>
        <w:rPr>
          <w:bCs/>
          <w:kern w:val="0"/>
          <w:sz w:val="24"/>
          <w:highlight w:val="none"/>
        </w:rPr>
      </w:pPr>
      <w:r>
        <w:rPr>
          <w:bCs/>
          <w:kern w:val="0"/>
          <w:sz w:val="24"/>
          <w:highlight w:val="none"/>
        </w:rPr>
        <w:t>（二）本协议作为甲乙双方分包合同的附件，与合同同时签订并具有同等法律效力。</w:t>
      </w:r>
    </w:p>
    <w:p>
      <w:pPr>
        <w:spacing w:line="240" w:lineRule="auto"/>
        <w:ind w:firstLine="480"/>
        <w:rPr>
          <w:bCs/>
          <w:kern w:val="0"/>
          <w:sz w:val="24"/>
          <w:highlight w:val="none"/>
        </w:rPr>
      </w:pPr>
      <w:r>
        <w:rPr>
          <w:bCs/>
          <w:kern w:val="0"/>
          <w:sz w:val="24"/>
          <w:highlight w:val="none"/>
        </w:rPr>
        <w:t>（三）本协议一式 肆 份，甲方贰份，乙方贰份，具有同等效力。</w:t>
      </w:r>
    </w:p>
    <w:p>
      <w:pPr>
        <w:adjustRightInd w:val="0"/>
        <w:snapToGrid w:val="0"/>
        <w:spacing w:line="240" w:lineRule="auto"/>
        <w:ind w:firstLine="0" w:firstLineChars="0"/>
        <w:rPr>
          <w:bCs/>
          <w:kern w:val="0"/>
          <w:sz w:val="24"/>
          <w:highlight w:val="none"/>
          <w:lang w:val="zh-CN"/>
        </w:rPr>
      </w:pPr>
      <w:r>
        <w:rPr>
          <w:bCs/>
          <w:kern w:val="0"/>
          <w:sz w:val="24"/>
          <w:highlight w:val="none"/>
          <w:lang w:val="zh-CN"/>
        </w:rPr>
        <w:t>甲方：</w:t>
      </w:r>
      <w:r>
        <w:rPr>
          <w:bCs/>
          <w:kern w:val="0"/>
          <w:sz w:val="24"/>
          <w:highlight w:val="none"/>
        </w:rPr>
        <w:t xml:space="preserve">四川蜀物路面材料有限公司       </w:t>
      </w:r>
      <w:r>
        <w:rPr>
          <w:bCs/>
          <w:kern w:val="0"/>
          <w:sz w:val="24"/>
          <w:highlight w:val="none"/>
          <w:lang w:val="zh-CN"/>
        </w:rPr>
        <w:t>乙方：重庆运翔物流科技有限公司</w:t>
      </w:r>
    </w:p>
    <w:p>
      <w:pPr>
        <w:adjustRightInd w:val="0"/>
        <w:snapToGrid w:val="0"/>
        <w:spacing w:line="240" w:lineRule="auto"/>
        <w:ind w:firstLine="0" w:firstLineChars="0"/>
        <w:rPr>
          <w:bCs/>
          <w:kern w:val="0"/>
          <w:sz w:val="24"/>
          <w:highlight w:val="none"/>
        </w:rPr>
      </w:pPr>
      <w:r>
        <w:rPr>
          <w:bCs/>
          <w:kern w:val="0"/>
          <w:sz w:val="24"/>
          <w:highlight w:val="none"/>
        </w:rPr>
        <w:t>法定代表人                           法定代表人</w:t>
      </w:r>
    </w:p>
    <w:p>
      <w:pPr>
        <w:adjustRightInd w:val="0"/>
        <w:snapToGrid w:val="0"/>
        <w:spacing w:line="240" w:lineRule="auto"/>
        <w:ind w:firstLine="0" w:firstLineChars="0"/>
        <w:rPr>
          <w:bCs/>
          <w:kern w:val="0"/>
          <w:sz w:val="24"/>
          <w:highlight w:val="none"/>
        </w:rPr>
      </w:pPr>
      <w:r>
        <w:rPr>
          <w:bCs/>
          <w:kern w:val="0"/>
          <w:sz w:val="24"/>
          <w:highlight w:val="none"/>
        </w:rPr>
        <w:t>或其授权代表：                        或其授权代表：</w:t>
      </w:r>
    </w:p>
    <w:p>
      <w:pPr>
        <w:adjustRightInd w:val="0"/>
        <w:snapToGrid w:val="0"/>
        <w:spacing w:line="240" w:lineRule="auto"/>
        <w:ind w:firstLine="480"/>
        <w:rPr>
          <w:bCs/>
          <w:kern w:val="0"/>
          <w:sz w:val="24"/>
          <w:highlight w:val="none"/>
        </w:rPr>
      </w:pPr>
      <w:r>
        <w:rPr>
          <w:bCs/>
          <w:kern w:val="0"/>
          <w:sz w:val="24"/>
          <w:highlight w:val="none"/>
        </w:rPr>
        <w:t>年   月   日                                年   月   日</w:t>
      </w:r>
    </w:p>
    <w:p>
      <w:pPr>
        <w:widowControl/>
        <w:spacing w:line="360" w:lineRule="auto"/>
        <w:ind w:firstLine="0" w:firstLineChars="0"/>
        <w:rPr>
          <w:rFonts w:eastAsia="宋体"/>
          <w:b/>
          <w:bCs/>
          <w:color w:val="000000"/>
          <w:sz w:val="21"/>
          <w:szCs w:val="21"/>
          <w:highlight w:val="none"/>
        </w:rPr>
      </w:pPr>
    </w:p>
    <w:p>
      <w:pPr>
        <w:spacing w:line="360" w:lineRule="auto"/>
        <w:ind w:firstLine="3990" w:firstLineChars="1900"/>
        <w:rPr>
          <w:rFonts w:eastAsia="宋体"/>
          <w:color w:val="000000"/>
          <w:sz w:val="21"/>
          <w:szCs w:val="21"/>
          <w:highlight w:val="none"/>
        </w:rPr>
      </w:pPr>
    </w:p>
    <w:p>
      <w:pPr>
        <w:spacing w:line="360" w:lineRule="auto"/>
        <w:ind w:firstLine="0" w:firstLineChars="0"/>
        <w:rPr>
          <w:rFonts w:eastAsia="宋体"/>
          <w:b/>
          <w:color w:val="000000"/>
          <w:sz w:val="24"/>
          <w:szCs w:val="22"/>
          <w:highlight w:val="none"/>
        </w:rPr>
      </w:pPr>
    </w:p>
    <w:p>
      <w:pPr>
        <w:spacing w:line="360" w:lineRule="auto"/>
        <w:ind w:firstLine="0" w:firstLineChars="0"/>
        <w:rPr>
          <w:rFonts w:eastAsia="宋体"/>
          <w:color w:val="000000"/>
          <w:sz w:val="28"/>
          <w:szCs w:val="28"/>
          <w:highlight w:val="none"/>
        </w:rPr>
      </w:pPr>
      <w:r>
        <w:rPr>
          <w:rFonts w:eastAsia="宋体"/>
          <w:color w:val="000000"/>
          <w:sz w:val="28"/>
          <w:szCs w:val="28"/>
          <w:highlight w:val="none"/>
        </w:rPr>
        <w:br w:type="page"/>
      </w:r>
    </w:p>
    <w:p>
      <w:pPr>
        <w:spacing w:line="240" w:lineRule="auto"/>
        <w:ind w:firstLine="0" w:firstLineChars="0"/>
        <w:jc w:val="center"/>
        <w:rPr>
          <w:rFonts w:eastAsia="黑体"/>
          <w:color w:val="000000"/>
          <w:kern w:val="0"/>
          <w:szCs w:val="32"/>
          <w:highlight w:val="none"/>
          <w:lang w:bidi="ar"/>
        </w:rPr>
      </w:pPr>
      <w:r>
        <w:rPr>
          <w:rFonts w:eastAsia="黑体"/>
          <w:color w:val="000000"/>
          <w:kern w:val="0"/>
          <w:szCs w:val="32"/>
          <w:highlight w:val="none"/>
          <w:lang w:bidi="ar"/>
        </w:rPr>
        <w:t>附件3 廉洁协议</w:t>
      </w:r>
    </w:p>
    <w:p>
      <w:pPr>
        <w:autoSpaceDE w:val="0"/>
        <w:autoSpaceDN w:val="0"/>
        <w:adjustRightInd w:val="0"/>
        <w:spacing w:line="240" w:lineRule="auto"/>
        <w:ind w:firstLine="480"/>
        <w:jc w:val="left"/>
        <w:rPr>
          <w:bCs/>
          <w:kern w:val="0"/>
          <w:sz w:val="24"/>
          <w:highlight w:val="none"/>
        </w:rPr>
      </w:pPr>
      <w:r>
        <w:rPr>
          <w:bCs/>
          <w:kern w:val="0"/>
          <w:sz w:val="24"/>
          <w:highlight w:val="none"/>
        </w:rPr>
        <w:t>为规范甲乙双方的经营行为，做好业务活动中的党风廉政建设工作，保证合作过程资金的安全和有效使用，保持廉洁自律的工作作风，根据《国有企业领导人员廉洁从业若干规定》等党风廉政建设有关规定，经</w:t>
      </w:r>
      <w:r>
        <w:rPr>
          <w:bCs/>
          <w:kern w:val="0"/>
          <w:sz w:val="24"/>
          <w:highlight w:val="none"/>
          <w:u w:val="single"/>
        </w:rPr>
        <w:t xml:space="preserve"> 四川蜀物路面材料有限公司 </w:t>
      </w:r>
      <w:r>
        <w:rPr>
          <w:bCs/>
          <w:kern w:val="0"/>
          <w:sz w:val="24"/>
          <w:highlight w:val="none"/>
        </w:rPr>
        <w:t>（以下简称“甲方”）与</w:t>
      </w:r>
      <w:r>
        <w:rPr>
          <w:bCs/>
          <w:kern w:val="0"/>
          <w:sz w:val="24"/>
          <w:highlight w:val="none"/>
          <w:u w:val="single"/>
        </w:rPr>
        <w:t xml:space="preserve"> </w:t>
      </w:r>
      <w:r>
        <w:rPr>
          <w:rFonts w:hint="eastAsia"/>
          <w:bCs/>
          <w:kern w:val="0"/>
          <w:sz w:val="24"/>
          <w:highlight w:val="none"/>
          <w:u w:val="single"/>
        </w:rPr>
        <w:t xml:space="preserve">                </w:t>
      </w:r>
      <w:r>
        <w:rPr>
          <w:bCs/>
          <w:kern w:val="0"/>
          <w:sz w:val="24"/>
          <w:highlight w:val="none"/>
          <w:u w:val="single"/>
        </w:rPr>
        <w:t xml:space="preserve"> </w:t>
      </w:r>
      <w:r>
        <w:rPr>
          <w:bCs/>
          <w:kern w:val="0"/>
          <w:sz w:val="24"/>
          <w:highlight w:val="none"/>
        </w:rPr>
        <w:t>（以下简称“乙方”）协商同意，特订立本协议：</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第一条 双方的权利和义务</w:t>
      </w:r>
    </w:p>
    <w:p>
      <w:pPr>
        <w:autoSpaceDE w:val="0"/>
        <w:autoSpaceDN w:val="0"/>
        <w:adjustRightInd w:val="0"/>
        <w:spacing w:line="240" w:lineRule="auto"/>
        <w:ind w:firstLine="480"/>
        <w:jc w:val="left"/>
        <w:rPr>
          <w:bCs/>
          <w:kern w:val="0"/>
          <w:sz w:val="24"/>
          <w:highlight w:val="none"/>
        </w:rPr>
      </w:pPr>
      <w:r>
        <w:rPr>
          <w:bCs/>
          <w:kern w:val="0"/>
          <w:sz w:val="24"/>
          <w:highlight w:val="none"/>
        </w:rPr>
        <w:t>1.严格遵守党的纪律和国家相关法律法规以及党风廉政建设各项规章制度；严格遵守商业道德和市场规则，共同营造公平公正的商务交易环境；严格执行双方订立的合同文件，自觉按照合同办事。</w:t>
      </w:r>
    </w:p>
    <w:p>
      <w:pPr>
        <w:autoSpaceDE w:val="0"/>
        <w:autoSpaceDN w:val="0"/>
        <w:adjustRightInd w:val="0"/>
        <w:spacing w:line="240" w:lineRule="auto"/>
        <w:ind w:firstLine="480"/>
        <w:jc w:val="left"/>
        <w:rPr>
          <w:bCs/>
          <w:kern w:val="0"/>
          <w:sz w:val="24"/>
          <w:highlight w:val="none"/>
        </w:rPr>
      </w:pPr>
      <w:r>
        <w:rPr>
          <w:bCs/>
          <w:kern w:val="0"/>
          <w:sz w:val="24"/>
          <w:highlight w:val="none"/>
        </w:rPr>
        <w:t>2.双方的业务和活动坚持公开、公正、诚信、透明的原则（除法律认定的商业秘密和合同文件另有规定之外），不得损害国家和集体利益，违反双方企业内部管理规章制度。</w:t>
      </w:r>
    </w:p>
    <w:p>
      <w:pPr>
        <w:autoSpaceDE w:val="0"/>
        <w:autoSpaceDN w:val="0"/>
        <w:adjustRightInd w:val="0"/>
        <w:spacing w:line="240" w:lineRule="auto"/>
        <w:ind w:firstLine="480"/>
        <w:jc w:val="left"/>
        <w:rPr>
          <w:bCs/>
          <w:kern w:val="0"/>
          <w:sz w:val="24"/>
          <w:highlight w:val="none"/>
        </w:rPr>
      </w:pPr>
      <w:r>
        <w:rPr>
          <w:bCs/>
          <w:kern w:val="0"/>
          <w:sz w:val="24"/>
          <w:highlight w:val="none"/>
        </w:rPr>
        <w:t>3.发现对方在业务活动中有违反廉洁规定的行为，有及时提醒对方纠正的权利和义务；发现对方严重违反本合同义务条款的行为，有向上级有关单位、部门举报、建议给予处理并要求告知处理结果的权利。</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第二条 甲方义务</w:t>
      </w:r>
    </w:p>
    <w:p>
      <w:pPr>
        <w:autoSpaceDE w:val="0"/>
        <w:autoSpaceDN w:val="0"/>
        <w:adjustRightInd w:val="0"/>
        <w:spacing w:line="240" w:lineRule="auto"/>
        <w:ind w:firstLine="480"/>
        <w:jc w:val="left"/>
        <w:rPr>
          <w:bCs/>
          <w:kern w:val="0"/>
          <w:sz w:val="24"/>
          <w:highlight w:val="none"/>
        </w:rPr>
      </w:pPr>
      <w:r>
        <w:rPr>
          <w:bCs/>
          <w:kern w:val="0"/>
          <w:sz w:val="24"/>
          <w:highlight w:val="none"/>
        </w:rPr>
        <w:t>1.甲方及其工作人员不得索要或接受乙方的礼金、回扣、有价证券和贵重物品，不得接受乙方提供的通讯工具、交通工具和高档办公用品等，不得在乙方及其相关单位报销任何应由甲方单位或个人支付的费用等；甲方及其工作人员不得违反规定在乙方及其相关单位投资入股，不得向乙方单位或人员借款、委托买卖股票、债券或其他委托理财等。</w:t>
      </w:r>
    </w:p>
    <w:p>
      <w:pPr>
        <w:autoSpaceDE w:val="0"/>
        <w:autoSpaceDN w:val="0"/>
        <w:adjustRightInd w:val="0"/>
        <w:spacing w:line="240" w:lineRule="auto"/>
        <w:ind w:firstLine="480"/>
        <w:jc w:val="left"/>
        <w:rPr>
          <w:bCs/>
          <w:kern w:val="0"/>
          <w:sz w:val="24"/>
          <w:highlight w:val="none"/>
        </w:rPr>
      </w:pPr>
      <w:r>
        <w:rPr>
          <w:bCs/>
          <w:kern w:val="0"/>
          <w:sz w:val="24"/>
          <w:highlight w:val="none"/>
        </w:rPr>
        <w:t>2.甲方工作人员不得参加乙方安排的超标准宴请、旅游和娱乐活动等。</w:t>
      </w:r>
    </w:p>
    <w:p>
      <w:pPr>
        <w:autoSpaceDE w:val="0"/>
        <w:autoSpaceDN w:val="0"/>
        <w:adjustRightInd w:val="0"/>
        <w:spacing w:line="240" w:lineRule="auto"/>
        <w:ind w:firstLine="480"/>
        <w:jc w:val="left"/>
        <w:rPr>
          <w:bCs/>
          <w:kern w:val="0"/>
          <w:sz w:val="24"/>
          <w:highlight w:val="none"/>
        </w:rPr>
      </w:pPr>
      <w:r>
        <w:rPr>
          <w:bCs/>
          <w:kern w:val="0"/>
          <w:sz w:val="24"/>
          <w:highlight w:val="none"/>
        </w:rPr>
        <w:t>3.甲方及其工作人员不得要求、暗示或接受乙方及其相关单位和个人为其住房装修、婚丧嫁娶活动、配偶及子女的工作安排等事宜提供方便。</w:t>
      </w:r>
    </w:p>
    <w:p>
      <w:pPr>
        <w:autoSpaceDE w:val="0"/>
        <w:autoSpaceDN w:val="0"/>
        <w:adjustRightInd w:val="0"/>
        <w:spacing w:line="240" w:lineRule="auto"/>
        <w:ind w:firstLine="480"/>
        <w:jc w:val="left"/>
        <w:rPr>
          <w:bCs/>
          <w:kern w:val="0"/>
          <w:sz w:val="24"/>
          <w:highlight w:val="none"/>
        </w:rPr>
      </w:pPr>
      <w:r>
        <w:rPr>
          <w:bCs/>
          <w:kern w:val="0"/>
          <w:sz w:val="24"/>
          <w:highlight w:val="none"/>
        </w:rPr>
        <w:t>4.甲方工作人员不得为谋取私利与乙方人员在业务交往中进行私下商谈或者达成默契；甲方工作人员不得利用职权通过乙方及其相关单位为其配偶、子女及他人谋取不正当利益。</w:t>
      </w:r>
    </w:p>
    <w:p>
      <w:pPr>
        <w:autoSpaceDE w:val="0"/>
        <w:autoSpaceDN w:val="0"/>
        <w:adjustRightInd w:val="0"/>
        <w:spacing w:line="240" w:lineRule="auto"/>
        <w:ind w:firstLine="480"/>
        <w:jc w:val="left"/>
        <w:rPr>
          <w:bCs/>
          <w:kern w:val="0"/>
          <w:sz w:val="24"/>
          <w:highlight w:val="none"/>
        </w:rPr>
      </w:pPr>
      <w:r>
        <w:rPr>
          <w:bCs/>
          <w:kern w:val="0"/>
          <w:sz w:val="24"/>
          <w:highlight w:val="none"/>
        </w:rPr>
        <w:t>5.甲方工作人员及其配偶、子女不得从事与乙方有关的经济活动。</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第三条 乙方义务</w:t>
      </w:r>
    </w:p>
    <w:p>
      <w:pPr>
        <w:autoSpaceDE w:val="0"/>
        <w:autoSpaceDN w:val="0"/>
        <w:adjustRightInd w:val="0"/>
        <w:spacing w:line="240" w:lineRule="auto"/>
        <w:ind w:firstLine="480"/>
        <w:jc w:val="left"/>
        <w:rPr>
          <w:bCs/>
          <w:kern w:val="0"/>
          <w:sz w:val="24"/>
          <w:highlight w:val="none"/>
        </w:rPr>
      </w:pPr>
      <w:r>
        <w:rPr>
          <w:bCs/>
          <w:kern w:val="0"/>
          <w:sz w:val="24"/>
          <w:highlight w:val="none"/>
        </w:rPr>
        <w:t>1.乙方不得以任何理由向甲方及其工作人员行贿或馈赠礼金、有价证券、贵重礼品等；乙方不得为甲方单位和个人购置或提供通讯工具、交通工具和高档办公用品等；不得为甲方人员投资入股、个人借款、买卖股票、债券或其他委托理财等提供方便。</w:t>
      </w:r>
    </w:p>
    <w:p>
      <w:pPr>
        <w:autoSpaceDE w:val="0"/>
        <w:autoSpaceDN w:val="0"/>
        <w:adjustRightInd w:val="0"/>
        <w:spacing w:line="240" w:lineRule="auto"/>
        <w:ind w:firstLine="480"/>
        <w:jc w:val="left"/>
        <w:rPr>
          <w:bCs/>
          <w:kern w:val="0"/>
          <w:sz w:val="24"/>
          <w:highlight w:val="none"/>
        </w:rPr>
      </w:pPr>
      <w:r>
        <w:rPr>
          <w:bCs/>
          <w:kern w:val="0"/>
          <w:sz w:val="24"/>
          <w:highlight w:val="none"/>
        </w:rPr>
        <w:t>2.乙方不得以任何名义为甲方及其工作人员报销应由甲方单位或个人支付的任何费用。</w:t>
      </w:r>
    </w:p>
    <w:p>
      <w:pPr>
        <w:autoSpaceDE w:val="0"/>
        <w:autoSpaceDN w:val="0"/>
        <w:adjustRightInd w:val="0"/>
        <w:spacing w:line="240" w:lineRule="auto"/>
        <w:ind w:firstLine="480"/>
        <w:jc w:val="left"/>
        <w:rPr>
          <w:bCs/>
          <w:kern w:val="0"/>
          <w:sz w:val="24"/>
          <w:highlight w:val="none"/>
        </w:rPr>
      </w:pPr>
      <w:r>
        <w:rPr>
          <w:bCs/>
          <w:kern w:val="0"/>
          <w:sz w:val="24"/>
          <w:highlight w:val="none"/>
        </w:rPr>
        <w:t>3.乙方不得以任何理由安排甲方及其工作人员参加超标准宴请、旅游和娱乐活动等。</w:t>
      </w:r>
    </w:p>
    <w:p>
      <w:pPr>
        <w:autoSpaceDE w:val="0"/>
        <w:autoSpaceDN w:val="0"/>
        <w:adjustRightInd w:val="0"/>
        <w:spacing w:line="240" w:lineRule="auto"/>
        <w:ind w:firstLine="480"/>
        <w:jc w:val="left"/>
        <w:rPr>
          <w:bCs/>
          <w:kern w:val="0"/>
          <w:sz w:val="24"/>
          <w:highlight w:val="none"/>
        </w:rPr>
      </w:pPr>
      <w:r>
        <w:rPr>
          <w:bCs/>
          <w:kern w:val="0"/>
          <w:sz w:val="24"/>
          <w:highlight w:val="none"/>
        </w:rPr>
        <w:t>4.乙方不得为谋取私利擅自与甲方人员在业务交往中进行私下商谈或者达成默契；不得违反规定安排甲方人员及其配偶、子女在乙方或乙方相关单位兼职和领取薪酬。</w:t>
      </w:r>
    </w:p>
    <w:p>
      <w:pPr>
        <w:autoSpaceDE w:val="0"/>
        <w:autoSpaceDN w:val="0"/>
        <w:adjustRightInd w:val="0"/>
        <w:spacing w:line="240" w:lineRule="auto"/>
        <w:ind w:firstLine="480"/>
        <w:jc w:val="left"/>
        <w:rPr>
          <w:bCs/>
          <w:kern w:val="0"/>
          <w:sz w:val="24"/>
          <w:highlight w:val="none"/>
        </w:rPr>
      </w:pPr>
      <w:r>
        <w:rPr>
          <w:bCs/>
          <w:kern w:val="0"/>
          <w:sz w:val="24"/>
          <w:highlight w:val="none"/>
        </w:rPr>
        <w:t>5.乙方不得为甲方及其工作人员住房装修、婚丧嫁娶活动、配偶及子女的工作安排等事宜提供方便。</w:t>
      </w:r>
    </w:p>
    <w:p>
      <w:pPr>
        <w:autoSpaceDE w:val="0"/>
        <w:autoSpaceDN w:val="0"/>
        <w:adjustRightInd w:val="0"/>
        <w:spacing w:line="240" w:lineRule="auto"/>
        <w:ind w:firstLine="480"/>
        <w:jc w:val="left"/>
        <w:rPr>
          <w:bCs/>
          <w:kern w:val="0"/>
          <w:sz w:val="24"/>
          <w:highlight w:val="none"/>
        </w:rPr>
      </w:pPr>
      <w:r>
        <w:rPr>
          <w:bCs/>
          <w:kern w:val="0"/>
          <w:sz w:val="24"/>
          <w:highlight w:val="none"/>
        </w:rPr>
        <w:t>6.乙方不得利用非法手段打探涉及甲方的商业秘密、业务渠道等；甲方对涉嫌不廉洁的商业行为进行调查时，乙方有配合甲方提供证据、作证的义务。</w:t>
      </w:r>
    </w:p>
    <w:p>
      <w:pPr>
        <w:autoSpaceDE w:val="0"/>
        <w:autoSpaceDN w:val="0"/>
        <w:adjustRightInd w:val="0"/>
        <w:spacing w:line="240" w:lineRule="auto"/>
        <w:ind w:firstLine="480"/>
        <w:jc w:val="left"/>
        <w:rPr>
          <w:bCs/>
          <w:kern w:val="0"/>
          <w:sz w:val="24"/>
          <w:highlight w:val="none"/>
        </w:rPr>
      </w:pPr>
      <w:r>
        <w:rPr>
          <w:bCs/>
          <w:kern w:val="0"/>
          <w:sz w:val="24"/>
          <w:highlight w:val="none"/>
        </w:rPr>
        <w:t>7.未经甲方书面同意，乙方不得向任何新闻媒体、第三者述及有关甲方公司人员廉洁从业方面的评价、信息。</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第四条 违约责任</w:t>
      </w:r>
    </w:p>
    <w:p>
      <w:pPr>
        <w:autoSpaceDE w:val="0"/>
        <w:autoSpaceDN w:val="0"/>
        <w:adjustRightInd w:val="0"/>
        <w:spacing w:line="240" w:lineRule="auto"/>
        <w:ind w:firstLine="480"/>
        <w:jc w:val="left"/>
        <w:rPr>
          <w:bCs/>
          <w:kern w:val="0"/>
          <w:sz w:val="24"/>
          <w:highlight w:val="none"/>
        </w:rPr>
      </w:pPr>
      <w:r>
        <w:rPr>
          <w:bCs/>
          <w:kern w:val="0"/>
          <w:sz w:val="24"/>
          <w:highlight w:val="none"/>
        </w:rPr>
        <w:t>甲方及其工作人员违反本协议第一、二条，依据有关规定给予党纪、政纪或组织处理；涉嫌犯罪的，移交司法机关追究刑事责任；给乙方单位造成经济损失的，应予以赔偿。乙方及其工作人员违反本协议第一、三条，依据有关规定给予党纪、政纪或组织处理；涉嫌犯罪的，移交司法机关追究刑事责任；给甲方单位造成经济损失的，应予以赔偿。</w:t>
      </w:r>
    </w:p>
    <w:p>
      <w:pPr>
        <w:autoSpaceDE w:val="0"/>
        <w:autoSpaceDN w:val="0"/>
        <w:adjustRightInd w:val="0"/>
        <w:spacing w:line="240" w:lineRule="auto"/>
        <w:ind w:firstLine="480"/>
        <w:jc w:val="left"/>
        <w:rPr>
          <w:rFonts w:eastAsia="黑体"/>
          <w:bCs/>
          <w:kern w:val="0"/>
          <w:sz w:val="24"/>
          <w:highlight w:val="none"/>
        </w:rPr>
      </w:pPr>
      <w:r>
        <w:rPr>
          <w:rFonts w:eastAsia="黑体"/>
          <w:bCs/>
          <w:kern w:val="0"/>
          <w:sz w:val="24"/>
          <w:highlight w:val="none"/>
        </w:rPr>
        <w:t>第五条 相关约定</w:t>
      </w:r>
    </w:p>
    <w:p>
      <w:pPr>
        <w:autoSpaceDE w:val="0"/>
        <w:autoSpaceDN w:val="0"/>
        <w:adjustRightInd w:val="0"/>
        <w:spacing w:line="240" w:lineRule="auto"/>
        <w:ind w:firstLine="480"/>
        <w:jc w:val="left"/>
        <w:rPr>
          <w:bCs/>
          <w:kern w:val="0"/>
          <w:sz w:val="24"/>
          <w:highlight w:val="none"/>
        </w:rPr>
      </w:pPr>
      <w:r>
        <w:rPr>
          <w:bCs/>
          <w:kern w:val="0"/>
          <w:sz w:val="24"/>
          <w:highlight w:val="none"/>
        </w:rPr>
        <w:t>本合同由双方及双方上级单位的纪检监察机关负责监督。</w:t>
      </w:r>
    </w:p>
    <w:p>
      <w:pPr>
        <w:autoSpaceDE w:val="0"/>
        <w:autoSpaceDN w:val="0"/>
        <w:adjustRightInd w:val="0"/>
        <w:spacing w:line="240" w:lineRule="auto"/>
        <w:ind w:firstLine="480"/>
        <w:jc w:val="left"/>
        <w:rPr>
          <w:bCs/>
          <w:kern w:val="0"/>
          <w:sz w:val="24"/>
          <w:highlight w:val="none"/>
        </w:rPr>
      </w:pPr>
      <w:r>
        <w:rPr>
          <w:rFonts w:eastAsia="黑体"/>
          <w:bCs/>
          <w:kern w:val="0"/>
          <w:sz w:val="24"/>
          <w:highlight w:val="none"/>
        </w:rPr>
        <w:t>第六条</w:t>
      </w:r>
      <w:r>
        <w:rPr>
          <w:b/>
          <w:kern w:val="0"/>
          <w:sz w:val="24"/>
          <w:highlight w:val="none"/>
        </w:rPr>
        <w:t xml:space="preserve"> </w:t>
      </w:r>
      <w:r>
        <w:rPr>
          <w:bCs/>
          <w:kern w:val="0"/>
          <w:sz w:val="24"/>
          <w:highlight w:val="none"/>
        </w:rPr>
        <w:t>本协议为</w:t>
      </w:r>
      <w:r>
        <w:rPr>
          <w:bCs/>
          <w:kern w:val="0"/>
          <w:sz w:val="24"/>
          <w:highlight w:val="none"/>
          <w:u w:val="single"/>
        </w:rPr>
        <w:t xml:space="preserve"> 货物运输合同（合同编号</w:t>
      </w:r>
      <w:r>
        <w:rPr>
          <w:rFonts w:hint="eastAsia"/>
          <w:bCs/>
          <w:kern w:val="0"/>
          <w:sz w:val="24"/>
          <w:highlight w:val="none"/>
          <w:u w:val="single"/>
        </w:rPr>
        <w:t xml:space="preserve">          </w:t>
      </w:r>
      <w:r>
        <w:rPr>
          <w:bCs/>
          <w:kern w:val="0"/>
          <w:sz w:val="24"/>
          <w:highlight w:val="none"/>
          <w:u w:val="single"/>
        </w:rPr>
        <w:t>）</w:t>
      </w:r>
      <w:r>
        <w:rPr>
          <w:bCs/>
          <w:kern w:val="0"/>
          <w:sz w:val="24"/>
          <w:highlight w:val="none"/>
        </w:rPr>
        <w:t>的附件，与主合同具有同等的法律效力，经双方盖章后立即生效。</w:t>
      </w:r>
    </w:p>
    <w:p>
      <w:pPr>
        <w:autoSpaceDE w:val="0"/>
        <w:autoSpaceDN w:val="0"/>
        <w:adjustRightInd w:val="0"/>
        <w:spacing w:line="240" w:lineRule="auto"/>
        <w:ind w:firstLine="480"/>
        <w:jc w:val="left"/>
        <w:rPr>
          <w:bCs/>
          <w:kern w:val="0"/>
          <w:sz w:val="24"/>
          <w:highlight w:val="none"/>
        </w:rPr>
      </w:pPr>
      <w:r>
        <w:rPr>
          <w:rFonts w:eastAsia="黑体"/>
          <w:bCs/>
          <w:kern w:val="0"/>
          <w:sz w:val="24"/>
          <w:highlight w:val="none"/>
        </w:rPr>
        <w:t>第七条</w:t>
      </w:r>
      <w:r>
        <w:rPr>
          <w:b/>
          <w:kern w:val="0"/>
          <w:sz w:val="24"/>
          <w:highlight w:val="none"/>
        </w:rPr>
        <w:t xml:space="preserve"> </w:t>
      </w:r>
      <w:r>
        <w:rPr>
          <w:bCs/>
          <w:kern w:val="0"/>
          <w:sz w:val="24"/>
          <w:highlight w:val="none"/>
        </w:rPr>
        <w:t>本协议有效期为甲乙双方签署之日起至本协议主合同履约完毕为止。</w:t>
      </w:r>
    </w:p>
    <w:p>
      <w:pPr>
        <w:autoSpaceDE w:val="0"/>
        <w:autoSpaceDN w:val="0"/>
        <w:adjustRightInd w:val="0"/>
        <w:spacing w:line="240" w:lineRule="auto"/>
        <w:ind w:firstLine="480"/>
        <w:jc w:val="left"/>
        <w:rPr>
          <w:bCs/>
          <w:kern w:val="0"/>
          <w:sz w:val="24"/>
          <w:highlight w:val="none"/>
        </w:rPr>
      </w:pPr>
      <w:r>
        <w:rPr>
          <w:rFonts w:eastAsia="黑体"/>
          <w:bCs/>
          <w:kern w:val="0"/>
          <w:sz w:val="24"/>
          <w:highlight w:val="none"/>
        </w:rPr>
        <w:t>第八条</w:t>
      </w:r>
      <w:r>
        <w:rPr>
          <w:b/>
          <w:kern w:val="0"/>
          <w:sz w:val="24"/>
          <w:highlight w:val="none"/>
        </w:rPr>
        <w:t xml:space="preserve"> </w:t>
      </w:r>
      <w:r>
        <w:rPr>
          <w:bCs/>
          <w:kern w:val="0"/>
          <w:sz w:val="24"/>
          <w:highlight w:val="none"/>
        </w:rPr>
        <w:t>本协议一式肆份，甲、乙双方各执贰份。</w:t>
      </w:r>
    </w:p>
    <w:p>
      <w:pPr>
        <w:autoSpaceDE w:val="0"/>
        <w:autoSpaceDN w:val="0"/>
        <w:adjustRightInd w:val="0"/>
        <w:spacing w:line="240" w:lineRule="auto"/>
        <w:ind w:firstLine="480"/>
        <w:jc w:val="left"/>
        <w:rPr>
          <w:bCs/>
          <w:kern w:val="0"/>
          <w:sz w:val="24"/>
          <w:highlight w:val="none"/>
        </w:rPr>
      </w:pPr>
    </w:p>
    <w:p>
      <w:pPr>
        <w:autoSpaceDE w:val="0"/>
        <w:autoSpaceDN w:val="0"/>
        <w:adjustRightInd w:val="0"/>
        <w:spacing w:line="240" w:lineRule="auto"/>
        <w:ind w:firstLine="480"/>
        <w:jc w:val="left"/>
        <w:rPr>
          <w:bCs/>
          <w:kern w:val="0"/>
          <w:sz w:val="24"/>
          <w:highlight w:val="none"/>
        </w:rPr>
      </w:pPr>
      <w:r>
        <w:rPr>
          <w:bCs/>
          <w:kern w:val="0"/>
          <w:sz w:val="24"/>
          <w:highlight w:val="none"/>
        </w:rPr>
        <w:t>甲方：</w:t>
      </w:r>
      <w:r>
        <w:rPr>
          <w:bCs/>
          <w:kern w:val="0"/>
          <w:sz w:val="24"/>
          <w:highlight w:val="none"/>
          <w:u w:val="single"/>
        </w:rPr>
        <w:t xml:space="preserve">  四川蜀物路面材料有限公司 </w:t>
      </w:r>
      <w:r>
        <w:rPr>
          <w:bCs/>
          <w:kern w:val="0"/>
          <w:sz w:val="24"/>
          <w:highlight w:val="none"/>
        </w:rPr>
        <w:t xml:space="preserve"> 乙方：</w:t>
      </w:r>
      <w:r>
        <w:rPr>
          <w:bCs/>
          <w:kern w:val="0"/>
          <w:sz w:val="24"/>
          <w:highlight w:val="none"/>
          <w:u w:val="single"/>
        </w:rPr>
        <w:t xml:space="preserve"> </w:t>
      </w:r>
      <w:r>
        <w:rPr>
          <w:rFonts w:hint="eastAsia"/>
          <w:bCs/>
          <w:kern w:val="0"/>
          <w:sz w:val="24"/>
          <w:highlight w:val="none"/>
          <w:u w:val="single"/>
        </w:rPr>
        <w:t xml:space="preserve">                      </w:t>
      </w:r>
      <w:r>
        <w:rPr>
          <w:bCs/>
          <w:kern w:val="0"/>
          <w:sz w:val="24"/>
          <w:highlight w:val="none"/>
          <w:u w:val="single"/>
        </w:rPr>
        <w:t xml:space="preserve"> </w:t>
      </w:r>
      <w:r>
        <w:rPr>
          <w:bCs/>
          <w:kern w:val="0"/>
          <w:sz w:val="24"/>
          <w:highlight w:val="none"/>
        </w:rPr>
        <w:t xml:space="preserve"> </w:t>
      </w:r>
    </w:p>
    <w:p>
      <w:pPr>
        <w:autoSpaceDE w:val="0"/>
        <w:autoSpaceDN w:val="0"/>
        <w:adjustRightInd w:val="0"/>
        <w:spacing w:line="240" w:lineRule="auto"/>
        <w:ind w:firstLine="480"/>
        <w:jc w:val="left"/>
        <w:rPr>
          <w:bCs/>
          <w:kern w:val="0"/>
          <w:sz w:val="24"/>
          <w:highlight w:val="none"/>
          <w:u w:val="single"/>
        </w:rPr>
      </w:pPr>
      <w:r>
        <w:rPr>
          <w:bCs/>
          <w:kern w:val="0"/>
          <w:sz w:val="24"/>
          <w:highlight w:val="none"/>
        </w:rPr>
        <w:t>法定代表人或委托代理人：</w:t>
      </w:r>
      <w:r>
        <w:rPr>
          <w:bCs/>
          <w:kern w:val="0"/>
          <w:sz w:val="24"/>
          <w:highlight w:val="none"/>
          <w:u w:val="single"/>
        </w:rPr>
        <w:t xml:space="preserve">    </w:t>
      </w:r>
      <w:r>
        <w:rPr>
          <w:bCs/>
          <w:kern w:val="0"/>
          <w:sz w:val="24"/>
          <w:highlight w:val="none"/>
        </w:rPr>
        <w:t xml:space="preserve">   法定代表人或委托代理人：</w:t>
      </w:r>
      <w:r>
        <w:rPr>
          <w:bCs/>
          <w:kern w:val="0"/>
          <w:sz w:val="24"/>
          <w:highlight w:val="none"/>
          <w:u w:val="single"/>
        </w:rPr>
        <w:t xml:space="preserve">           </w:t>
      </w:r>
    </w:p>
    <w:p>
      <w:pPr>
        <w:autoSpaceDE w:val="0"/>
        <w:autoSpaceDN w:val="0"/>
        <w:adjustRightInd w:val="0"/>
        <w:spacing w:line="240" w:lineRule="auto"/>
        <w:ind w:firstLine="480"/>
        <w:jc w:val="left"/>
        <w:rPr>
          <w:bCs/>
          <w:kern w:val="0"/>
          <w:sz w:val="24"/>
          <w:highlight w:val="none"/>
          <w:u w:val="single"/>
        </w:rPr>
      </w:pPr>
      <w:r>
        <w:rPr>
          <w:bCs/>
          <w:kern w:val="0"/>
          <w:sz w:val="24"/>
          <w:highlight w:val="none"/>
        </w:rPr>
        <w:t>电话：</w:t>
      </w:r>
      <w:r>
        <w:rPr>
          <w:bCs/>
          <w:kern w:val="0"/>
          <w:sz w:val="24"/>
          <w:highlight w:val="none"/>
          <w:u w:val="single"/>
        </w:rPr>
        <w:t xml:space="preserve">                   </w:t>
      </w:r>
      <w:r>
        <w:rPr>
          <w:bCs/>
          <w:kern w:val="0"/>
          <w:sz w:val="24"/>
          <w:highlight w:val="none"/>
        </w:rPr>
        <w:t xml:space="preserve">      电话：</w:t>
      </w:r>
      <w:r>
        <w:rPr>
          <w:bCs/>
          <w:kern w:val="0"/>
          <w:sz w:val="24"/>
          <w:highlight w:val="none"/>
          <w:u w:val="single"/>
        </w:rPr>
        <w:t xml:space="preserve">                             </w:t>
      </w:r>
    </w:p>
    <w:p>
      <w:pPr>
        <w:autoSpaceDE w:val="0"/>
        <w:autoSpaceDN w:val="0"/>
        <w:adjustRightInd w:val="0"/>
        <w:spacing w:line="240" w:lineRule="auto"/>
        <w:ind w:firstLine="480"/>
        <w:jc w:val="left"/>
        <w:rPr>
          <w:bCs/>
          <w:kern w:val="0"/>
          <w:sz w:val="24"/>
          <w:highlight w:val="none"/>
          <w:u w:val="single"/>
        </w:rPr>
      </w:pPr>
      <w:r>
        <w:rPr>
          <w:bCs/>
          <w:kern w:val="0"/>
          <w:sz w:val="24"/>
          <w:highlight w:val="none"/>
        </w:rPr>
        <w:t>日期：</w:t>
      </w:r>
      <w:r>
        <w:rPr>
          <w:bCs/>
          <w:kern w:val="0"/>
          <w:sz w:val="24"/>
          <w:highlight w:val="none"/>
          <w:u w:val="single"/>
        </w:rPr>
        <w:t xml:space="preserve">                 </w:t>
      </w:r>
      <w:r>
        <w:rPr>
          <w:bCs/>
          <w:kern w:val="0"/>
          <w:sz w:val="24"/>
          <w:highlight w:val="none"/>
        </w:rPr>
        <w:t xml:space="preserve">        日期：</w:t>
      </w:r>
      <w:r>
        <w:rPr>
          <w:bCs/>
          <w:kern w:val="0"/>
          <w:sz w:val="24"/>
          <w:highlight w:val="none"/>
          <w:u w:val="single"/>
        </w:rPr>
        <w:t xml:space="preserve">                             </w:t>
      </w:r>
    </w:p>
    <w:p>
      <w:pPr>
        <w:spacing w:line="240" w:lineRule="auto"/>
        <w:ind w:firstLine="0" w:firstLineChars="0"/>
        <w:rPr>
          <w:sz w:val="24"/>
          <w:highlight w:val="none"/>
        </w:rPr>
      </w:pPr>
    </w:p>
    <w:p>
      <w:pPr>
        <w:pStyle w:val="12"/>
        <w:ind w:firstLine="0" w:firstLineChars="0"/>
        <w:rPr>
          <w:rFonts w:ascii="Times New Roman" w:hAnsi="Times New Roman" w:eastAsia="仿宋_GB2312" w:cs="Times New Roman"/>
          <w:kern w:val="0"/>
          <w:sz w:val="24"/>
          <w:szCs w:val="24"/>
          <w:highlight w:val="none"/>
          <w:lang w:val="en-US"/>
        </w:rPr>
      </w:pPr>
    </w:p>
    <w:p>
      <w:pPr>
        <w:ind w:firstLine="0" w:firstLineChars="0"/>
        <w:rPr>
          <w:highlight w:val="none"/>
        </w:rPr>
      </w:pPr>
    </w:p>
    <w:bookmarkEnd w:id="33"/>
    <w:bookmarkEnd w:id="34"/>
    <w:bookmarkEnd w:id="35"/>
    <w:bookmarkEnd w:id="36"/>
    <w:bookmarkEnd w:id="37"/>
    <w:p>
      <w:pPr>
        <w:pStyle w:val="12"/>
        <w:ind w:firstLine="0" w:firstLineChars="0"/>
        <w:rPr>
          <w:rFonts w:ascii="仿宋_GB2312" w:hAnsi="仿宋_GB2312" w:eastAsia="仿宋_GB2312" w:cs="仿宋_GB2312"/>
          <w:kern w:val="0"/>
          <w:sz w:val="24"/>
          <w:szCs w:val="24"/>
          <w:highlight w:val="none"/>
          <w:lang w:val="en-U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0AB0CF-AFAA-419A-8A22-2DF8CF0D45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9138C0D-0017-48AF-ACB2-CA63BAAD113A}"/>
  </w:font>
  <w:font w:name="方正小标宋简体">
    <w:panose1 w:val="00000600000000000000"/>
    <w:charset w:val="86"/>
    <w:family w:val="auto"/>
    <w:pitch w:val="default"/>
    <w:sig w:usb0="800002BF" w:usb1="184F6CF8" w:usb2="00000012" w:usb3="00000000" w:csb0="00160001" w:csb1="12030000"/>
    <w:embedRegular r:id="rId3" w:fontKey="{3DD2144C-269B-4536-9823-CB26E2426047}"/>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Palatino">
    <w:altName w:val="Palatino Linotype"/>
    <w:panose1 w:val="00000000000000000000"/>
    <w:charset w:val="00"/>
    <w:family w:val="auto"/>
    <w:pitch w:val="default"/>
    <w:sig w:usb0="00000000" w:usb1="00000000" w:usb2="14600000" w:usb3="00000000" w:csb0="20000193" w:csb1="4D000000"/>
  </w:font>
  <w:font w:name="微软雅黑">
    <w:panose1 w:val="020B0503020204020204"/>
    <w:charset w:val="86"/>
    <w:family w:val="swiss"/>
    <w:pitch w:val="default"/>
    <w:sig w:usb0="80000287" w:usb1="2ACF3C50" w:usb2="00000016" w:usb3="00000000" w:csb0="0004001F" w:csb1="00000000"/>
    <w:embedRegular r:id="rId4" w:fontKey="{970F31F8-DD00-4CBC-92A3-7B9D4BC8E631}"/>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lvlText w:val="%1."/>
      <w:lvlJc w:val="left"/>
      <w:pPr>
        <w:ind w:left="420" w:hanging="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tentative="0">
      <w:start w:val="1"/>
      <w:numFmt w:val="decimal"/>
      <w:suff w:val="nothing"/>
      <w:lvlText w:val="%1．"/>
      <w:lvlJc w:val="left"/>
      <w:pPr>
        <w:ind w:left="0" w:firstLine="400"/>
      </w:pPr>
      <w:rPr>
        <w:rFonts w:hint="default"/>
      </w:rPr>
    </w:lvl>
  </w:abstractNum>
  <w:abstractNum w:abstractNumId="3">
    <w:nsid w:val="00000005"/>
    <w:multiLevelType w:val="singleLevel"/>
    <w:tmpl w:val="00000005"/>
    <w:lvl w:ilvl="0" w:tentative="0">
      <w:start w:val="1"/>
      <w:numFmt w:val="decimal"/>
      <w:suff w:val="nothing"/>
      <w:lvlText w:val="（%1）"/>
      <w:lvlJc w:val="left"/>
    </w:lvl>
  </w:abstractNum>
  <w:abstractNum w:abstractNumId="4">
    <w:nsid w:val="00000006"/>
    <w:multiLevelType w:val="singleLevel"/>
    <w:tmpl w:val="00000006"/>
    <w:lvl w:ilvl="0" w:tentative="0">
      <w:start w:val="1"/>
      <w:numFmt w:val="decimal"/>
      <w:suff w:val="nothing"/>
      <w:lvlText w:val="%1．"/>
      <w:lvlJc w:val="left"/>
      <w:pPr>
        <w:ind w:left="26" w:firstLine="400"/>
      </w:pPr>
      <w:rPr>
        <w:rFonts w:hint="default"/>
      </w:rPr>
    </w:lvl>
  </w:abstractNum>
  <w:abstractNum w:abstractNumId="5">
    <w:nsid w:val="0053208E"/>
    <w:multiLevelType w:val="singleLevel"/>
    <w:tmpl w:val="0053208E"/>
    <w:lvl w:ilvl="0" w:tentative="0">
      <w:start w:val="5"/>
      <w:numFmt w:val="decimal"/>
      <w:lvlText w:val="%1."/>
      <w:lvlJc w:val="left"/>
      <w:pPr>
        <w:tabs>
          <w:tab w:val="left" w:pos="312"/>
        </w:tabs>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zY2VkODM3ZmVhOTY5NmUyNWY1Y2M2NjU4ZTAwNjAifQ=="/>
  </w:docVars>
  <w:rsids>
    <w:rsidRoot w:val="000B7A31"/>
    <w:rsid w:val="000B7A31"/>
    <w:rsid w:val="0036352A"/>
    <w:rsid w:val="00477426"/>
    <w:rsid w:val="007C2314"/>
    <w:rsid w:val="00871BAF"/>
    <w:rsid w:val="00A16F18"/>
    <w:rsid w:val="00D07F6F"/>
    <w:rsid w:val="00F07984"/>
    <w:rsid w:val="01222126"/>
    <w:rsid w:val="01BB5DC4"/>
    <w:rsid w:val="0639523F"/>
    <w:rsid w:val="077839A8"/>
    <w:rsid w:val="0C6E47B5"/>
    <w:rsid w:val="10306921"/>
    <w:rsid w:val="132A0321"/>
    <w:rsid w:val="19973DB9"/>
    <w:rsid w:val="2081315F"/>
    <w:rsid w:val="20C84A0E"/>
    <w:rsid w:val="23312E0D"/>
    <w:rsid w:val="2A347ABE"/>
    <w:rsid w:val="2D1F0E92"/>
    <w:rsid w:val="2E0657BC"/>
    <w:rsid w:val="30D71DAB"/>
    <w:rsid w:val="361A23CB"/>
    <w:rsid w:val="370B4CEA"/>
    <w:rsid w:val="37D662B3"/>
    <w:rsid w:val="38213B7C"/>
    <w:rsid w:val="3A06128C"/>
    <w:rsid w:val="3A327E3B"/>
    <w:rsid w:val="40343AB0"/>
    <w:rsid w:val="41917E44"/>
    <w:rsid w:val="41A3260D"/>
    <w:rsid w:val="42F5034D"/>
    <w:rsid w:val="45251C18"/>
    <w:rsid w:val="46AB1021"/>
    <w:rsid w:val="46FB2366"/>
    <w:rsid w:val="4F9559BD"/>
    <w:rsid w:val="5619670A"/>
    <w:rsid w:val="57E14E1A"/>
    <w:rsid w:val="58B8458A"/>
    <w:rsid w:val="5DC13FE7"/>
    <w:rsid w:val="5E961089"/>
    <w:rsid w:val="5EF81B17"/>
    <w:rsid w:val="628170C6"/>
    <w:rsid w:val="662517F3"/>
    <w:rsid w:val="66955DCD"/>
    <w:rsid w:val="66AF33EB"/>
    <w:rsid w:val="67843BCF"/>
    <w:rsid w:val="67B660A5"/>
    <w:rsid w:val="686D21BE"/>
    <w:rsid w:val="699A5717"/>
    <w:rsid w:val="6A403927"/>
    <w:rsid w:val="717970B3"/>
    <w:rsid w:val="721A045B"/>
    <w:rsid w:val="73111257"/>
    <w:rsid w:val="796D27D7"/>
    <w:rsid w:val="7A3E2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hint="eastAsia" w:ascii="宋体" w:hAnsi="宋体" w:eastAsia="方正小标宋简体"/>
      <w:kern w:val="44"/>
      <w:sz w:val="44"/>
    </w:rPr>
  </w:style>
  <w:style w:type="paragraph" w:styleId="4">
    <w:name w:val="heading 2"/>
    <w:basedOn w:val="1"/>
    <w:next w:val="5"/>
    <w:qFormat/>
    <w:uiPriority w:val="0"/>
    <w:pPr>
      <w:keepNext/>
      <w:keepLines/>
      <w:ind w:firstLine="880"/>
      <w:jc w:val="left"/>
      <w:outlineLvl w:val="1"/>
    </w:pPr>
    <w:rPr>
      <w:rFonts w:hint="eastAsia" w:ascii="Arial" w:hAnsi="Arial" w:eastAsia="黑体"/>
    </w:rPr>
  </w:style>
  <w:style w:type="paragraph" w:styleId="6">
    <w:name w:val="heading 3"/>
    <w:basedOn w:val="1"/>
    <w:next w:val="5"/>
    <w:qFormat/>
    <w:uiPriority w:val="0"/>
    <w:pPr>
      <w:keepNext/>
      <w:keepLines/>
      <w:ind w:firstLine="880"/>
      <w:outlineLvl w:val="2"/>
    </w:pPr>
    <w:rPr>
      <w:rFonts w:eastAsia="楷体_GB2312"/>
    </w:rPr>
  </w:style>
  <w:style w:type="paragraph" w:styleId="2">
    <w:name w:val="heading 4"/>
    <w:basedOn w:val="1"/>
    <w:next w:val="1"/>
    <w:qFormat/>
    <w:uiPriority w:val="0"/>
    <w:pPr>
      <w:keepNext/>
      <w:keepLines/>
      <w:outlineLvl w:val="3"/>
    </w:pPr>
    <w:rPr>
      <w:rFonts w:ascii="Arial" w:hAnsi="Arial"/>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kern w:val="0"/>
      <w:sz w:val="20"/>
      <w:szCs w:val="20"/>
    </w:rPr>
  </w:style>
  <w:style w:type="paragraph" w:styleId="7">
    <w:name w:val="annotation text"/>
    <w:basedOn w:val="1"/>
    <w:link w:val="29"/>
    <w:qFormat/>
    <w:uiPriority w:val="0"/>
    <w:pPr>
      <w:jc w:val="left"/>
    </w:pPr>
  </w:style>
  <w:style w:type="paragraph" w:styleId="8">
    <w:name w:val="Body Text"/>
    <w:basedOn w:val="1"/>
    <w:next w:val="1"/>
    <w:qFormat/>
    <w:uiPriority w:val="0"/>
    <w:pPr>
      <w:spacing w:after="120"/>
    </w:pPr>
  </w:style>
  <w:style w:type="paragraph" w:styleId="9">
    <w:name w:val="Plain Text"/>
    <w:basedOn w:val="1"/>
    <w:qFormat/>
    <w:uiPriority w:val="99"/>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7"/>
    <w:next w:val="7"/>
    <w:link w:val="30"/>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样式王"/>
    <w:basedOn w:val="1"/>
    <w:qFormat/>
    <w:uiPriority w:val="0"/>
    <w:rPr>
      <w:rFonts w:eastAsia="宋体"/>
    </w:rPr>
  </w:style>
  <w:style w:type="paragraph" w:customStyle="1" w:styleId="21">
    <w:name w:val="正文 2"/>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22">
    <w:name w:val="说明"/>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23">
    <w:name w:val="自由格式"/>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24">
    <w:name w:val="Table Paragraph"/>
    <w:basedOn w:val="1"/>
    <w:qFormat/>
    <w:uiPriority w:val="1"/>
    <w:rPr>
      <w:rFonts w:eastAsia="宋体"/>
    </w:rPr>
  </w:style>
  <w:style w:type="paragraph" w:customStyle="1" w:styleId="25">
    <w:name w:val="列表段落1"/>
    <w:basedOn w:val="1"/>
    <w:qFormat/>
    <w:uiPriority w:val="0"/>
    <w:pPr>
      <w:ind w:firstLine="420"/>
    </w:pPr>
    <w:rPr>
      <w:rFonts w:eastAsia="宋体"/>
      <w:sz w:val="18"/>
      <w:szCs w:val="18"/>
    </w:rPr>
  </w:style>
  <w:style w:type="paragraph" w:customStyle="1" w:styleId="26">
    <w:name w:val="列出段落2"/>
    <w:basedOn w:val="1"/>
    <w:qFormat/>
    <w:uiPriority w:val="34"/>
    <w:pPr>
      <w:ind w:firstLine="420"/>
    </w:pPr>
  </w:style>
  <w:style w:type="paragraph" w:customStyle="1" w:styleId="27">
    <w:name w:val="正文文本缩进1"/>
    <w:basedOn w:val="1"/>
    <w:qFormat/>
    <w:uiPriority w:val="99"/>
    <w:pPr>
      <w:ind w:firstLine="570"/>
    </w:pPr>
    <w:rPr>
      <w:kern w:val="0"/>
      <w:sz w:val="28"/>
      <w:u w:val="single"/>
    </w:rPr>
  </w:style>
  <w:style w:type="paragraph" w:customStyle="1" w:styleId="28">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29">
    <w:name w:val="批注文字 字符"/>
    <w:basedOn w:val="17"/>
    <w:link w:val="7"/>
    <w:qFormat/>
    <w:uiPriority w:val="0"/>
    <w:rPr>
      <w:rFonts w:eastAsia="仿宋_GB2312"/>
      <w:kern w:val="2"/>
      <w:sz w:val="32"/>
      <w:szCs w:val="24"/>
    </w:rPr>
  </w:style>
  <w:style w:type="character" w:customStyle="1" w:styleId="30">
    <w:name w:val="批注主题 字符"/>
    <w:basedOn w:val="29"/>
    <w:link w:val="14"/>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四川交投物流有限公司</Company>
  <Pages>40</Pages>
  <Words>3584</Words>
  <Characters>20433</Characters>
  <Lines>170</Lines>
  <Paragraphs>47</Paragraphs>
  <TotalTime>18</TotalTime>
  <ScaleCrop>false</ScaleCrop>
  <LinksUpToDate>false</LinksUpToDate>
  <CharactersWithSpaces>23970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2023-06-26T06:27:00Z</dcterms:created>
  <dc:creator>冷露</dc:creator>
  <cp:lastModifiedBy>冷露</cp:lastModifiedBy>
  <cp:lastPrinted>2024-08-12T09:01:25Z</cp:lastPrinted>
  <dcterms:modified xsi:type="dcterms:W3CDTF">2024-08-12T09:33:11Z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AE5D2F0C4FDC4AD095FC006AD9B66BDA_13</vt:lpwstr>
  </property>
</Properties>
</file>