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525D8">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四川蜀物兴川物流发展有限公司</w:t>
      </w:r>
    </w:p>
    <w:p w14:paraId="7BB9C3D4">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 w:val="0"/>
          <w:bCs w:val="0"/>
          <w:w w:val="100"/>
          <w:sz w:val="44"/>
          <w:szCs w:val="44"/>
          <w:highlight w:val="none"/>
          <w:lang w:val="en-US" w:eastAsia="zh-CN"/>
        </w:rPr>
        <w:t>关于与江苏某2家国有企业买卖合同纠纷法律服务项目</w:t>
      </w:r>
    </w:p>
    <w:p w14:paraId="66EC1C24">
      <w:pPr>
        <w:pStyle w:val="14"/>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12500B13">
      <w:pPr>
        <w:keepNext w:val="0"/>
        <w:keepLines w:val="0"/>
        <w:pageBreakBefore w:val="0"/>
        <w:wordWrap/>
        <w:topLinePunct w:val="0"/>
        <w:bidi w:val="0"/>
        <w:snapToGrid/>
        <w:spacing w:after="0" w:line="800" w:lineRule="exact"/>
        <w:ind w:left="0"/>
        <w:textAlignment w:val="auto"/>
        <w:rPr>
          <w:highlight w:val="none"/>
        </w:rPr>
      </w:pPr>
    </w:p>
    <w:p w14:paraId="0B0073B0">
      <w:pPr>
        <w:pStyle w:val="14"/>
        <w:keepNext w:val="0"/>
        <w:keepLines w:val="0"/>
        <w:pageBreakBefore w:val="0"/>
        <w:kinsoku w:val="0"/>
        <w:wordWrap/>
        <w:overflowPunct w:val="0"/>
        <w:topLinePunct w:val="0"/>
        <w:bidi w:val="0"/>
        <w:snapToGrid/>
        <w:spacing w:after="0" w:line="800" w:lineRule="exact"/>
        <w:ind w:left="0"/>
        <w:textAlignment w:val="auto"/>
        <w:rPr>
          <w:rFonts w:ascii="仿宋" w:hAnsi="仿宋" w:eastAsia="仿宋" w:cs="Times New Roman"/>
          <w:sz w:val="20"/>
          <w:szCs w:val="20"/>
          <w:highlight w:val="none"/>
        </w:rPr>
      </w:pPr>
    </w:p>
    <w:p w14:paraId="2B62DBEA">
      <w:pPr>
        <w:pStyle w:val="14"/>
        <w:keepNext w:val="0"/>
        <w:keepLines w:val="0"/>
        <w:pageBreakBefore w:val="0"/>
        <w:kinsoku w:val="0"/>
        <w:wordWrap/>
        <w:overflowPunct w:val="0"/>
        <w:topLinePunct w:val="0"/>
        <w:bidi w:val="0"/>
        <w:snapToGrid/>
        <w:spacing w:after="0" w:line="800" w:lineRule="exact"/>
        <w:ind w:left="0"/>
        <w:jc w:val="center"/>
        <w:textAlignment w:val="auto"/>
        <w:rPr>
          <w:rFonts w:ascii="仿宋" w:hAnsi="仿宋" w:eastAsia="仿宋" w:cs="Times New Roman"/>
          <w:b/>
          <w:sz w:val="44"/>
          <w:szCs w:val="44"/>
          <w:highlight w:val="none"/>
        </w:rPr>
      </w:pPr>
    </w:p>
    <w:p w14:paraId="0A9B6399">
      <w:pPr>
        <w:pStyle w:val="14"/>
        <w:keepNext w:val="0"/>
        <w:keepLines w:val="0"/>
        <w:pageBreakBefore w:val="0"/>
        <w:kinsoku w:val="0"/>
        <w:wordWrap/>
        <w:overflowPunct w:val="0"/>
        <w:topLinePunct w:val="0"/>
        <w:bidi w:val="0"/>
        <w:snapToGrid/>
        <w:spacing w:after="0" w:line="800" w:lineRule="exact"/>
        <w:ind w:left="0"/>
        <w:jc w:val="both"/>
        <w:textAlignment w:val="auto"/>
        <w:rPr>
          <w:rFonts w:hint="eastAsia" w:ascii="方正小标宋简体" w:hAnsi="方正小标宋简体" w:eastAsia="方正小标宋简体" w:cs="方正小标宋简体"/>
          <w:b/>
          <w:sz w:val="72"/>
          <w:szCs w:val="72"/>
          <w:highlight w:val="none"/>
        </w:rPr>
      </w:pPr>
    </w:p>
    <w:p w14:paraId="76AC508F">
      <w:pPr>
        <w:pStyle w:val="14"/>
        <w:keepNext w:val="0"/>
        <w:keepLines w:val="0"/>
        <w:pageBreakBefore w:val="0"/>
        <w:widowControl w:val="0"/>
        <w:kinsoku w:val="0"/>
        <w:wordWrap/>
        <w:overflowPunct w:val="0"/>
        <w:topLinePunct w:val="0"/>
        <w:autoSpaceDE w:val="0"/>
        <w:autoSpaceDN w:val="0"/>
        <w:bidi w:val="0"/>
        <w:adjustRightInd w:val="0"/>
        <w:snapToGrid/>
        <w:spacing w:after="0" w:line="800" w:lineRule="exact"/>
        <w:ind w:left="0"/>
        <w:jc w:val="center"/>
        <w:textAlignment w:val="auto"/>
        <w:rPr>
          <w:rFonts w:ascii="仿宋" w:hAnsi="仿宋" w:eastAsia="仿宋" w:cs="Times New Roman"/>
          <w:sz w:val="24"/>
          <w:szCs w:val="24"/>
          <w:highlight w:val="none"/>
        </w:rPr>
      </w:pPr>
      <w:r>
        <w:rPr>
          <w:rFonts w:hint="eastAsia" w:ascii="方正小标宋简体" w:hAnsi="方正小标宋简体" w:eastAsia="方正小标宋简体" w:cs="方正小标宋简体"/>
          <w:sz w:val="72"/>
          <w:szCs w:val="72"/>
          <w:highlight w:val="none"/>
        </w:rPr>
        <w:t>比 选 文 件</w:t>
      </w:r>
    </w:p>
    <w:p w14:paraId="4B9B850B">
      <w:pPr>
        <w:pStyle w:val="6"/>
        <w:keepNext w:val="0"/>
        <w:keepLines w:val="0"/>
        <w:pageBreakBefore w:val="0"/>
        <w:wordWrap/>
        <w:topLinePunct w:val="0"/>
        <w:bidi w:val="0"/>
        <w:snapToGrid/>
        <w:spacing w:after="0" w:line="800" w:lineRule="exact"/>
        <w:ind w:left="0"/>
        <w:textAlignment w:val="auto"/>
        <w:rPr>
          <w:rFonts w:ascii="仿宋" w:hAnsi="仿宋" w:eastAsia="仿宋"/>
          <w:highlight w:val="none"/>
        </w:rPr>
      </w:pPr>
    </w:p>
    <w:p w14:paraId="284BE405">
      <w:pPr>
        <w:keepNext w:val="0"/>
        <w:keepLines w:val="0"/>
        <w:pageBreakBefore w:val="0"/>
        <w:wordWrap/>
        <w:topLinePunct w:val="0"/>
        <w:bidi w:val="0"/>
        <w:snapToGrid/>
        <w:spacing w:after="0" w:line="800" w:lineRule="exact"/>
        <w:ind w:left="0" w:firstLine="560" w:firstLineChars="200"/>
        <w:textAlignment w:val="auto"/>
        <w:outlineLvl w:val="0"/>
        <w:rPr>
          <w:rFonts w:ascii="仿宋" w:hAnsi="仿宋" w:eastAsia="仿宋" w:cs="Times New Roman"/>
          <w:color w:val="auto"/>
          <w:sz w:val="28"/>
          <w:szCs w:val="28"/>
          <w:highlight w:val="none"/>
        </w:rPr>
      </w:pPr>
      <w:r>
        <w:rPr>
          <w:rFonts w:ascii="仿宋" w:hAnsi="仿宋" w:eastAsia="仿宋" w:cs="Times New Roman"/>
          <w:color w:val="auto"/>
          <w:sz w:val="28"/>
          <w:szCs w:val="28"/>
          <w:highlight w:val="none"/>
        </w:rPr>
        <w:t xml:space="preserve">  </w:t>
      </w:r>
    </w:p>
    <w:p w14:paraId="04575D88">
      <w:pPr>
        <w:pStyle w:val="14"/>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55FF49D2">
      <w:pPr>
        <w:keepNext w:val="0"/>
        <w:keepLines w:val="0"/>
        <w:pageBreakBefore w:val="0"/>
        <w:wordWrap/>
        <w:topLinePunct w:val="0"/>
        <w:bidi w:val="0"/>
        <w:snapToGrid/>
        <w:spacing w:after="0" w:line="800" w:lineRule="exact"/>
        <w:ind w:left="0"/>
        <w:textAlignment w:val="auto"/>
        <w:rPr>
          <w:rFonts w:ascii="仿宋" w:hAnsi="仿宋" w:eastAsia="仿宋" w:cs="Times New Roman"/>
          <w:color w:val="auto"/>
          <w:sz w:val="28"/>
          <w:szCs w:val="28"/>
          <w:highlight w:val="none"/>
        </w:rPr>
      </w:pPr>
    </w:p>
    <w:p w14:paraId="65F89C5A">
      <w:pPr>
        <w:keepNext w:val="0"/>
        <w:keepLines w:val="0"/>
        <w:pageBreakBefore w:val="0"/>
        <w:wordWrap/>
        <w:topLinePunct w:val="0"/>
        <w:bidi w:val="0"/>
        <w:snapToGrid/>
        <w:spacing w:after="0" w:line="800" w:lineRule="exact"/>
        <w:ind w:left="0"/>
        <w:textAlignment w:val="auto"/>
        <w:rPr>
          <w:highlight w:val="none"/>
        </w:rPr>
      </w:pPr>
    </w:p>
    <w:p w14:paraId="02775250">
      <w:pPr>
        <w:keepNext w:val="0"/>
        <w:keepLines w:val="0"/>
        <w:pageBreakBefore w:val="0"/>
        <w:wordWrap/>
        <w:topLinePunct w:val="0"/>
        <w:bidi w:val="0"/>
        <w:snapToGrid/>
        <w:spacing w:after="0" w:line="640" w:lineRule="exact"/>
        <w:ind w:firstLine="630" w:firstLineChars="196"/>
        <w:jc w:val="center"/>
        <w:textAlignment w:val="auto"/>
        <w:outlineLvl w:val="0"/>
        <w:rPr>
          <w:rFonts w:hint="eastAsia" w:ascii="仿宋_GB2312" w:hAnsi="仿宋_GB2312" w:eastAsia="仿宋_GB2312" w:cs="仿宋_GB2312"/>
          <w:b/>
          <w:bCs w:val="0"/>
          <w:color w:val="auto"/>
          <w:sz w:val="32"/>
          <w:szCs w:val="32"/>
          <w:highlight w:val="none"/>
        </w:rPr>
      </w:pPr>
      <w:bookmarkStart w:id="0" w:name="_Toc12131"/>
      <w:bookmarkStart w:id="1" w:name="_Toc30100"/>
      <w:r>
        <w:rPr>
          <w:rFonts w:hint="eastAsia" w:ascii="仿宋_GB2312" w:hAnsi="仿宋_GB2312" w:eastAsia="仿宋_GB2312" w:cs="仿宋_GB2312"/>
          <w:b/>
          <w:bCs w:val="0"/>
          <w:color w:val="auto"/>
          <w:sz w:val="32"/>
          <w:szCs w:val="32"/>
          <w:highlight w:val="none"/>
        </w:rPr>
        <w:t>比选人：四川蜀物兴川物流发展有限公司（盖单位章）</w:t>
      </w:r>
      <w:bookmarkEnd w:id="0"/>
      <w:bookmarkEnd w:id="1"/>
    </w:p>
    <w:p w14:paraId="2ED63A3C">
      <w:pPr>
        <w:pStyle w:val="14"/>
        <w:keepNext w:val="0"/>
        <w:keepLines w:val="0"/>
        <w:pageBreakBefore w:val="0"/>
        <w:tabs>
          <w:tab w:val="left" w:pos="2593"/>
        </w:tabs>
        <w:kinsoku w:val="0"/>
        <w:wordWrap/>
        <w:overflowPunct w:val="0"/>
        <w:topLinePunct w:val="0"/>
        <w:bidi w:val="0"/>
        <w:snapToGrid/>
        <w:spacing w:line="640" w:lineRule="exact"/>
        <w:ind w:left="0"/>
        <w:jc w:val="center"/>
        <w:textAlignment w:val="auto"/>
        <w:rPr>
          <w:rFonts w:ascii="仿宋" w:hAnsi="仿宋" w:eastAsia="仿宋" w:cs="Times New Roman"/>
          <w:b/>
          <w:sz w:val="32"/>
          <w:szCs w:val="32"/>
          <w:highlight w:val="none"/>
        </w:rPr>
        <w:sectPr>
          <w:pgSz w:w="11906" w:h="16838"/>
          <w:pgMar w:top="2098" w:right="1474" w:bottom="1984" w:left="1587" w:header="720" w:footer="720" w:gutter="0"/>
          <w:cols w:space="720" w:num="1"/>
        </w:sectPr>
      </w:pPr>
      <w:r>
        <w:rPr>
          <w:rFonts w:hint="eastAsia" w:ascii="仿宋_GB2312" w:hAnsi="仿宋_GB2312" w:eastAsia="仿宋_GB2312" w:cs="仿宋_GB2312"/>
          <w:b/>
          <w:bCs w:val="0"/>
          <w:sz w:val="32"/>
          <w:szCs w:val="32"/>
          <w:highlight w:val="none"/>
        </w:rPr>
        <w:t>二〇二五年</w:t>
      </w:r>
      <w:r>
        <w:rPr>
          <w:rFonts w:hint="eastAsia" w:ascii="仿宋_GB2312" w:hAnsi="仿宋_GB2312" w:eastAsia="仿宋_GB2312" w:cs="仿宋_GB2312"/>
          <w:b/>
          <w:bCs w:val="0"/>
          <w:sz w:val="32"/>
          <w:szCs w:val="32"/>
          <w:highlight w:val="none"/>
          <w:lang w:val="en-US" w:eastAsia="zh-CN"/>
        </w:rPr>
        <w:t>十二</w:t>
      </w:r>
      <w:r>
        <w:rPr>
          <w:rFonts w:hint="eastAsia" w:ascii="仿宋_GB2312" w:hAnsi="仿宋_GB2312" w:eastAsia="仿宋_GB2312" w:cs="仿宋_GB2312"/>
          <w:b/>
          <w:bCs w:val="0"/>
          <w:sz w:val="32"/>
          <w:szCs w:val="32"/>
          <w:highlight w:val="none"/>
        </w:rPr>
        <w:t>月</w:t>
      </w:r>
    </w:p>
    <w:p w14:paraId="3DD75CE0">
      <w:pPr>
        <w:spacing w:after="0" w:line="265" w:lineRule="auto"/>
        <w:ind w:left="10" w:right="119" w:hanging="10"/>
        <w:jc w:val="center"/>
        <w:rPr>
          <w:rFonts w:ascii="仿宋" w:hAnsi="仿宋" w:eastAsia="仿宋" w:cs="Times New Roman"/>
          <w:color w:val="auto"/>
          <w:sz w:val="28"/>
          <w:szCs w:val="28"/>
          <w:highlight w:val="none"/>
        </w:rPr>
      </w:pPr>
      <w:r>
        <w:rPr>
          <w:rFonts w:ascii="仿宋" w:hAnsi="仿宋" w:eastAsia="仿宋" w:cs="Times New Roman"/>
          <w:color w:val="auto"/>
          <w:sz w:val="36"/>
          <w:szCs w:val="28"/>
          <w:highlight w:val="none"/>
        </w:rPr>
        <w:t xml:space="preserve">目  录 </w:t>
      </w:r>
    </w:p>
    <w:p w14:paraId="0F47711F">
      <w:pPr>
        <w:spacing w:after="0"/>
        <w:rPr>
          <w:rFonts w:ascii="仿宋" w:hAnsi="仿宋" w:eastAsia="仿宋" w:cs="Times New Roman"/>
          <w:color w:val="auto"/>
          <w:highlight w:val="none"/>
        </w:rPr>
      </w:pPr>
    </w:p>
    <w:p w14:paraId="42CB7386">
      <w:pPr>
        <w:pStyle w:val="4"/>
        <w:spacing w:after="0" w:line="560" w:lineRule="exact"/>
        <w:ind w:left="0" w:right="0" w:firstLine="0"/>
        <w:rPr>
          <w:rFonts w:ascii="仿宋" w:hAnsi="仿宋" w:eastAsia="仿宋" w:cs="Times New Roman"/>
          <w:sz w:val="28"/>
          <w:szCs w:val="28"/>
          <w:highlight w:val="none"/>
        </w:rPr>
      </w:pPr>
      <w:bookmarkStart w:id="2" w:name="_Toc2910"/>
      <w:bookmarkStart w:id="3" w:name="_Toc15280"/>
      <w:bookmarkStart w:id="4" w:name="_Toc118752"/>
      <w:bookmarkStart w:id="5" w:name="_Toc114620"/>
    </w:p>
    <w:p w14:paraId="121BBD8A">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第一章 比选公告</w:t>
      </w:r>
      <w:r>
        <w:rPr>
          <w:rFonts w:ascii="仿宋" w:hAnsi="仿宋" w:eastAsia="仿宋" w:cs="Times New Roman"/>
          <w:sz w:val="28"/>
          <w:szCs w:val="28"/>
          <w:highlight w:val="none"/>
        </w:rPr>
        <w:t>……………………………………………………1</w:t>
      </w:r>
    </w:p>
    <w:p w14:paraId="4D431326">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第二章 参选人须知</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5</w:t>
      </w:r>
    </w:p>
    <w:p w14:paraId="2142859A">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36"/>
          <w:highlight w:val="none"/>
        </w:rPr>
        <w:t>第三章 评审办法</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8</w:t>
      </w:r>
    </w:p>
    <w:p w14:paraId="100C34E6">
      <w:pPr>
        <w:pStyle w:val="14"/>
        <w:spacing w:line="560" w:lineRule="exact"/>
        <w:rPr>
          <w:rFonts w:ascii="仿宋" w:hAnsi="仿宋" w:eastAsia="仿宋" w:cs="Times New Roman"/>
          <w:sz w:val="28"/>
          <w:szCs w:val="28"/>
          <w:highlight w:val="none"/>
        </w:rPr>
      </w:pPr>
      <w:r>
        <w:rPr>
          <w:rFonts w:ascii="仿宋" w:hAnsi="仿宋" w:eastAsia="仿宋" w:cs="Times New Roman"/>
          <w:sz w:val="28"/>
          <w:szCs w:val="28"/>
          <w:highlight w:val="none"/>
        </w:rPr>
        <w:t>第四章</w:t>
      </w:r>
      <w:r>
        <w:rPr>
          <w:rFonts w:ascii="仿宋" w:hAnsi="仿宋" w:eastAsia="仿宋" w:cs="Times New Roman"/>
          <w:sz w:val="28"/>
          <w:szCs w:val="36"/>
          <w:highlight w:val="none"/>
        </w:rPr>
        <w:t xml:space="preserve"> </w:t>
      </w:r>
      <w:r>
        <w:rPr>
          <w:rFonts w:ascii="仿宋" w:hAnsi="仿宋" w:eastAsia="仿宋" w:cs="Times New Roman"/>
          <w:sz w:val="28"/>
          <w:szCs w:val="28"/>
          <w:highlight w:val="none"/>
        </w:rPr>
        <w:t>合同条款及格式</w:t>
      </w:r>
      <w:r>
        <w:rPr>
          <w:rFonts w:hint="eastAsia" w:ascii="仿宋" w:hAnsi="仿宋" w:eastAsia="仿宋" w:cs="Times New Roman"/>
          <w:sz w:val="28"/>
          <w:szCs w:val="28"/>
          <w:highlight w:val="none"/>
        </w:rPr>
        <w:t xml:space="preserve">  </w:t>
      </w:r>
      <w:r>
        <w:rPr>
          <w:rFonts w:ascii="仿宋" w:hAnsi="仿宋" w:eastAsia="仿宋" w:cs="Times New Roman"/>
          <w:sz w:val="28"/>
          <w:szCs w:val="28"/>
          <w:highlight w:val="none"/>
        </w:rPr>
        <w:t>…………………………………………1</w:t>
      </w:r>
      <w:r>
        <w:rPr>
          <w:rFonts w:hint="eastAsia" w:ascii="仿宋" w:hAnsi="仿宋" w:eastAsia="仿宋" w:cs="Times New Roman"/>
          <w:sz w:val="28"/>
          <w:szCs w:val="28"/>
          <w:highlight w:val="none"/>
        </w:rPr>
        <w:t>1</w:t>
      </w:r>
    </w:p>
    <w:p w14:paraId="3F5607C3">
      <w:pPr>
        <w:pStyle w:val="14"/>
        <w:spacing w:line="560" w:lineRule="exact"/>
        <w:rPr>
          <w:rFonts w:hint="eastAsia" w:ascii="仿宋" w:hAnsi="仿宋" w:eastAsia="仿宋" w:cs="Times New Roman"/>
          <w:sz w:val="28"/>
          <w:szCs w:val="28"/>
          <w:highlight w:val="none"/>
          <w:lang w:eastAsia="zh-CN"/>
        </w:rPr>
      </w:pPr>
      <w:r>
        <w:rPr>
          <w:rStyle w:val="35"/>
          <w:rFonts w:ascii="仿宋" w:hAnsi="仿宋" w:eastAsia="仿宋" w:cs="Times New Roman"/>
          <w:color w:val="auto"/>
          <w:sz w:val="28"/>
          <w:szCs w:val="36"/>
          <w:highlight w:val="none"/>
          <w:u w:val="none"/>
        </w:rPr>
        <w:t>第五章</w:t>
      </w:r>
      <w:r>
        <w:rPr>
          <w:rFonts w:ascii="仿宋" w:hAnsi="仿宋" w:eastAsia="仿宋" w:cs="Times New Roman"/>
          <w:sz w:val="28"/>
          <w:szCs w:val="36"/>
          <w:highlight w:val="none"/>
        </w:rPr>
        <w:t xml:space="preserve"> </w:t>
      </w:r>
      <w:r>
        <w:rPr>
          <w:rStyle w:val="35"/>
          <w:rFonts w:ascii="仿宋" w:hAnsi="仿宋" w:eastAsia="仿宋" w:cs="Times New Roman"/>
          <w:color w:val="auto"/>
          <w:sz w:val="28"/>
          <w:szCs w:val="36"/>
          <w:highlight w:val="none"/>
          <w:u w:val="none"/>
        </w:rPr>
        <w:t>比选响应文件</w:t>
      </w:r>
      <w:r>
        <w:rPr>
          <w:rFonts w:ascii="仿宋" w:hAnsi="仿宋" w:eastAsia="仿宋" w:cs="Times New Roman"/>
          <w:sz w:val="28"/>
          <w:szCs w:val="36"/>
          <w:highlight w:val="none"/>
        </w:rPr>
        <w:t>格式</w:t>
      </w:r>
      <w:r>
        <w:rPr>
          <w:rFonts w:hint="eastAsia" w:ascii="仿宋" w:hAnsi="仿宋" w:eastAsia="仿宋" w:cs="Times New Roman"/>
          <w:sz w:val="28"/>
          <w:szCs w:val="36"/>
          <w:highlight w:val="none"/>
        </w:rPr>
        <w:t xml:space="preserve">  </w:t>
      </w:r>
      <w:r>
        <w:rPr>
          <w:rFonts w:ascii="仿宋" w:hAnsi="仿宋" w:eastAsia="仿宋" w:cs="Times New Roman"/>
          <w:sz w:val="28"/>
          <w:szCs w:val="28"/>
          <w:highlight w:val="none"/>
        </w:rPr>
        <w:t>………………………………………1</w:t>
      </w:r>
      <w:r>
        <w:rPr>
          <w:rFonts w:hint="eastAsia" w:ascii="仿宋" w:hAnsi="仿宋" w:eastAsia="仿宋" w:cs="Times New Roman"/>
          <w:sz w:val="28"/>
          <w:szCs w:val="28"/>
          <w:highlight w:val="none"/>
          <w:lang w:val="en-US" w:eastAsia="zh-CN"/>
        </w:rPr>
        <w:t>6</w:t>
      </w:r>
    </w:p>
    <w:p w14:paraId="6274A41F">
      <w:pPr>
        <w:pStyle w:val="4"/>
        <w:spacing w:after="0" w:line="240" w:lineRule="auto"/>
        <w:ind w:left="0" w:right="0" w:firstLine="0"/>
        <w:rPr>
          <w:rFonts w:ascii="仿宋" w:hAnsi="仿宋" w:eastAsia="仿宋" w:cs="Times New Roman"/>
          <w:sz w:val="28"/>
          <w:szCs w:val="28"/>
          <w:highlight w:val="none"/>
        </w:rPr>
      </w:pPr>
    </w:p>
    <w:p w14:paraId="2FC922C3">
      <w:pPr>
        <w:pStyle w:val="4"/>
        <w:spacing w:after="0" w:line="240" w:lineRule="auto"/>
        <w:ind w:left="0" w:right="0" w:firstLine="0"/>
        <w:rPr>
          <w:rFonts w:ascii="仿宋" w:hAnsi="仿宋" w:eastAsia="仿宋" w:cs="Times New Roman"/>
          <w:sz w:val="28"/>
          <w:szCs w:val="28"/>
          <w:highlight w:val="none"/>
        </w:rPr>
      </w:pPr>
    </w:p>
    <w:p w14:paraId="2FD22283">
      <w:pPr>
        <w:pStyle w:val="4"/>
        <w:spacing w:after="0" w:line="240" w:lineRule="auto"/>
        <w:ind w:left="0" w:right="0" w:firstLine="0"/>
        <w:rPr>
          <w:rFonts w:ascii="仿宋" w:hAnsi="仿宋" w:eastAsia="仿宋" w:cs="Times New Roman"/>
          <w:sz w:val="28"/>
          <w:szCs w:val="28"/>
          <w:highlight w:val="none"/>
        </w:rPr>
        <w:sectPr>
          <w:footerReference r:id="rId5" w:type="default"/>
          <w:pgSz w:w="11906" w:h="16838"/>
          <w:pgMar w:top="2098" w:right="1474" w:bottom="1984" w:left="1587" w:header="720" w:footer="720" w:gutter="0"/>
          <w:pgNumType w:start="1"/>
          <w:cols w:space="720" w:num="1"/>
        </w:sectPr>
      </w:pPr>
    </w:p>
    <w:p w14:paraId="76FC17B2">
      <w:pPr>
        <w:pStyle w:val="4"/>
        <w:pageBreakBefore w:val="0"/>
        <w:kinsoku/>
        <w:wordWrap/>
        <w:overflowPunct/>
        <w:topLinePunct w:val="0"/>
        <w:autoSpaceDE/>
        <w:autoSpaceDN/>
        <w:bidi w:val="0"/>
        <w:adjustRightInd/>
        <w:snapToGrid/>
        <w:spacing w:after="0" w:line="520" w:lineRule="exact"/>
        <w:ind w:left="0" w:leftChars="0" w:right="0" w:firstLine="0"/>
        <w:textAlignment w:val="auto"/>
        <w:rPr>
          <w:rFonts w:ascii="仿宋" w:hAnsi="仿宋" w:eastAsia="仿宋" w:cs="Times New Roman"/>
          <w:color w:val="auto"/>
          <w:sz w:val="36"/>
          <w:szCs w:val="36"/>
          <w:highlight w:val="none"/>
        </w:rPr>
      </w:pPr>
      <w:r>
        <w:rPr>
          <w:rFonts w:ascii="仿宋" w:hAnsi="仿宋" w:eastAsia="仿宋" w:cs="Times New Roman"/>
          <w:color w:val="auto"/>
          <w:szCs w:val="32"/>
          <w:highlight w:val="none"/>
        </w:rPr>
        <w:t>第一章</w:t>
      </w:r>
      <w:bookmarkEnd w:id="2"/>
      <w:bookmarkEnd w:id="3"/>
      <w:bookmarkEnd w:id="4"/>
      <w:r>
        <w:rPr>
          <w:rFonts w:ascii="仿宋" w:hAnsi="仿宋" w:eastAsia="仿宋" w:cs="Times New Roman"/>
          <w:color w:val="auto"/>
          <w:szCs w:val="32"/>
          <w:highlight w:val="none"/>
        </w:rPr>
        <w:t xml:space="preserve">  比选公告</w:t>
      </w:r>
    </w:p>
    <w:p w14:paraId="4025F67C">
      <w:pPr>
        <w:pageBreakBefore w:val="0"/>
        <w:kinsoku/>
        <w:wordWrap/>
        <w:overflowPunct/>
        <w:topLinePunct w:val="0"/>
        <w:autoSpaceDE/>
        <w:autoSpaceDN/>
        <w:bidi w:val="0"/>
        <w:adjustRightInd/>
        <w:snapToGrid/>
        <w:spacing w:after="0" w:line="520" w:lineRule="exact"/>
        <w:ind w:left="0" w:leftChars="0"/>
        <w:jc w:val="center"/>
        <w:textAlignment w:val="auto"/>
        <w:rPr>
          <w:rFonts w:ascii="仿宋" w:hAnsi="仿宋" w:eastAsia="仿宋" w:cs="Times New Roman"/>
          <w:b/>
          <w:bCs/>
          <w:color w:val="auto"/>
          <w:spacing w:val="-11"/>
          <w:sz w:val="28"/>
          <w:szCs w:val="28"/>
          <w:highlight w:val="none"/>
        </w:rPr>
      </w:pPr>
    </w:p>
    <w:p w14:paraId="0B6DBF67">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一、比选条件</w:t>
      </w:r>
    </w:p>
    <w:p w14:paraId="0C54896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1.</w:t>
      </w:r>
      <w:r>
        <w:rPr>
          <w:rFonts w:ascii="仿宋" w:hAnsi="仿宋" w:eastAsia="仿宋" w:cs="Times New Roman"/>
          <w:color w:val="auto"/>
          <w:kern w:val="0"/>
          <w:sz w:val="28"/>
          <w:szCs w:val="28"/>
          <w:highlight w:val="none"/>
        </w:rPr>
        <w:t>四川蜀物兴川物流发展有限公司</w:t>
      </w:r>
      <w:r>
        <w:rPr>
          <w:rFonts w:hint="eastAsia" w:ascii="仿宋" w:hAnsi="仿宋" w:eastAsia="仿宋" w:cs="Times New Roman"/>
          <w:b/>
          <w:bCs/>
          <w:strike w:val="0"/>
          <w:dstrike w:val="0"/>
          <w:color w:val="auto"/>
          <w:kern w:val="0"/>
          <w:sz w:val="28"/>
          <w:szCs w:val="28"/>
          <w:highlight w:val="none"/>
          <w:u w:val="single"/>
          <w:lang w:val="en-US" w:eastAsia="zh-CN"/>
        </w:rPr>
        <w:t>关于与江苏某2家国有企业买卖合同纠纷法律服务</w:t>
      </w:r>
      <w:r>
        <w:rPr>
          <w:rFonts w:hint="eastAsia" w:ascii="仿宋" w:hAnsi="仿宋" w:eastAsia="仿宋" w:cs="Times New Roman"/>
          <w:b/>
          <w:bCs/>
          <w:color w:val="auto"/>
          <w:kern w:val="0"/>
          <w:sz w:val="28"/>
          <w:szCs w:val="28"/>
          <w:highlight w:val="none"/>
          <w:u w:val="single"/>
        </w:rPr>
        <w:t>项目</w:t>
      </w:r>
      <w:r>
        <w:rPr>
          <w:rFonts w:ascii="仿宋" w:hAnsi="仿宋" w:eastAsia="仿宋" w:cs="Times New Roman"/>
          <w:color w:val="auto"/>
          <w:kern w:val="0"/>
          <w:sz w:val="28"/>
          <w:szCs w:val="28"/>
          <w:highlight w:val="none"/>
        </w:rPr>
        <w:t>已具备公开比选条件，项目业主为四川蜀物兴川物流发展有限公司，资金来自自筹资金，出资比例为100%，比选人为四川蜀物兴川物流发展有限公司，现对该项目进行公开比选。</w:t>
      </w:r>
    </w:p>
    <w:p w14:paraId="22288DC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6" w:name="_Toc28409"/>
      <w:bookmarkStart w:id="7" w:name="_Toc118754"/>
      <w:bookmarkStart w:id="8" w:name="_Toc18180"/>
      <w:bookmarkStart w:id="9" w:name="_Toc128141189"/>
      <w:r>
        <w:rPr>
          <w:rFonts w:ascii="仿宋" w:hAnsi="仿宋" w:eastAsia="仿宋" w:cs="Times New Roman"/>
          <w:color w:val="auto"/>
          <w:kern w:val="0"/>
          <w:sz w:val="28"/>
          <w:szCs w:val="28"/>
          <w:highlight w:val="none"/>
        </w:rPr>
        <w:t>二、项目概况</w:t>
      </w:r>
      <w:bookmarkEnd w:id="6"/>
      <w:bookmarkEnd w:id="7"/>
      <w:bookmarkEnd w:id="8"/>
      <w:bookmarkEnd w:id="9"/>
    </w:p>
    <w:p w14:paraId="08D42F8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2.1.1项目名称：</w:t>
      </w:r>
      <w:r>
        <w:rPr>
          <w:rFonts w:hint="eastAsia" w:ascii="仿宋" w:hAnsi="仿宋" w:eastAsia="仿宋" w:cs="Times New Roman"/>
          <w:color w:val="auto"/>
          <w:kern w:val="0"/>
          <w:sz w:val="28"/>
          <w:szCs w:val="28"/>
          <w:highlight w:val="none"/>
          <w:lang w:val="en-US" w:eastAsia="zh-CN"/>
        </w:rPr>
        <w:t>关于与江苏某2家国有企业买卖合同纠纷法律服务</w:t>
      </w:r>
      <w:r>
        <w:rPr>
          <w:rFonts w:ascii="仿宋" w:hAnsi="仿宋" w:eastAsia="仿宋" w:cs="Times New Roman"/>
          <w:color w:val="auto"/>
          <w:kern w:val="0"/>
          <w:sz w:val="28"/>
          <w:szCs w:val="28"/>
          <w:highlight w:val="none"/>
        </w:rPr>
        <w:t>项目。</w:t>
      </w:r>
    </w:p>
    <w:p w14:paraId="4F307A9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2.1.2最高限价：</w:t>
      </w:r>
      <w:r>
        <w:rPr>
          <w:rFonts w:hint="eastAsia" w:ascii="仿宋" w:hAnsi="仿宋" w:eastAsia="仿宋" w:cs="Times New Roman"/>
          <w:color w:val="auto"/>
          <w:kern w:val="0"/>
          <w:sz w:val="28"/>
          <w:szCs w:val="28"/>
          <w:highlight w:val="none"/>
          <w:lang w:val="en-US" w:eastAsia="zh-CN"/>
        </w:rPr>
        <w:t>12.00</w:t>
      </w:r>
      <w:r>
        <w:rPr>
          <w:rFonts w:ascii="仿宋" w:hAnsi="仿宋" w:eastAsia="仿宋" w:cs="Times New Roman"/>
          <w:color w:val="auto"/>
          <w:kern w:val="0"/>
          <w:sz w:val="28"/>
          <w:szCs w:val="28"/>
          <w:highlight w:val="none"/>
        </w:rPr>
        <w:t>万元;</w:t>
      </w:r>
    </w:p>
    <w:p w14:paraId="11DC4C0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2.1.3案由：买卖合同纠纷;</w:t>
      </w:r>
    </w:p>
    <w:p w14:paraId="4B5C5E9C">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2.1.4被告：某</w:t>
      </w:r>
      <w:r>
        <w:rPr>
          <w:rFonts w:hint="eastAsia" w:ascii="仿宋" w:hAnsi="仿宋" w:eastAsia="仿宋" w:cs="Times New Roman"/>
          <w:color w:val="auto"/>
          <w:kern w:val="0"/>
          <w:sz w:val="28"/>
          <w:szCs w:val="28"/>
          <w:highlight w:val="none"/>
        </w:rPr>
        <w:t>2家</w:t>
      </w:r>
      <w:r>
        <w:rPr>
          <w:rFonts w:ascii="仿宋" w:hAnsi="仿宋" w:eastAsia="仿宋" w:cs="Times New Roman"/>
          <w:color w:val="auto"/>
          <w:kern w:val="0"/>
          <w:sz w:val="28"/>
          <w:szCs w:val="28"/>
          <w:highlight w:val="none"/>
        </w:rPr>
        <w:t xml:space="preserve">国有企业。 </w:t>
      </w:r>
    </w:p>
    <w:p w14:paraId="31A672DF">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2.1.5诉讼标的：</w:t>
      </w:r>
      <w:r>
        <w:rPr>
          <w:rFonts w:hint="eastAsia" w:ascii="仿宋" w:hAnsi="仿宋" w:eastAsia="仿宋" w:cs="Times New Roman"/>
          <w:color w:val="auto"/>
          <w:kern w:val="0"/>
          <w:sz w:val="28"/>
          <w:szCs w:val="28"/>
          <w:highlight w:val="none"/>
        </w:rPr>
        <w:t>合计约5900万元</w:t>
      </w:r>
      <w:r>
        <w:rPr>
          <w:rFonts w:ascii="仿宋" w:hAnsi="仿宋" w:eastAsia="仿宋" w:cs="Times New Roman"/>
          <w:color w:val="auto"/>
          <w:kern w:val="0"/>
          <w:sz w:val="28"/>
          <w:szCs w:val="28"/>
          <w:highlight w:val="none"/>
        </w:rPr>
        <w:t>（涉诉金额可能变化，以实际为准）;</w:t>
      </w:r>
    </w:p>
    <w:p w14:paraId="5991939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2.1.6管辖地：</w:t>
      </w:r>
      <w:r>
        <w:rPr>
          <w:rFonts w:hint="eastAsia" w:ascii="仿宋" w:hAnsi="仿宋" w:eastAsia="仿宋" w:cs="Times New Roman"/>
          <w:color w:val="auto"/>
          <w:kern w:val="0"/>
          <w:sz w:val="28"/>
          <w:szCs w:val="28"/>
          <w:highlight w:val="none"/>
          <w:lang w:val="en-US" w:eastAsia="zh-CN"/>
        </w:rPr>
        <w:t>四川省成都市锦江区</w:t>
      </w:r>
      <w:r>
        <w:rPr>
          <w:rFonts w:ascii="仿宋" w:hAnsi="仿宋" w:eastAsia="仿宋" w:cs="Times New Roman"/>
          <w:color w:val="auto"/>
          <w:kern w:val="0"/>
          <w:sz w:val="28"/>
          <w:szCs w:val="28"/>
          <w:highlight w:val="none"/>
        </w:rPr>
        <w:t>;</w:t>
      </w:r>
    </w:p>
    <w:p w14:paraId="40D761F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2.1.7代理阶段：一、二审、再审（若有）、反诉（若有）、执行;</w:t>
      </w:r>
    </w:p>
    <w:p w14:paraId="21D537D7">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2.2服务期限：自代理合同签订之日起至甲方债权全部实现为止;</w:t>
      </w:r>
    </w:p>
    <w:p w14:paraId="0BCBEC0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2.3服务内容：</w:t>
      </w:r>
    </w:p>
    <w:p w14:paraId="292B8A5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1</w:t>
      </w:r>
      <w:r>
        <w:rPr>
          <w:rFonts w:ascii="仿宋" w:hAnsi="仿宋" w:eastAsia="仿宋" w:cs="Times New Roman"/>
          <w:color w:val="auto"/>
          <w:kern w:val="0"/>
          <w:sz w:val="28"/>
          <w:szCs w:val="28"/>
          <w:highlight w:val="none"/>
        </w:rPr>
        <w:t>）全面分析案情，对相关事实与法律问题进行深入分析与研究；</w:t>
      </w:r>
    </w:p>
    <w:p w14:paraId="0667CAE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2</w:t>
      </w:r>
      <w:r>
        <w:rPr>
          <w:rFonts w:ascii="仿宋" w:hAnsi="仿宋" w:eastAsia="仿宋" w:cs="Times New Roman"/>
          <w:color w:val="auto"/>
          <w:kern w:val="0"/>
          <w:sz w:val="28"/>
          <w:szCs w:val="28"/>
          <w:highlight w:val="none"/>
        </w:rPr>
        <w:t>）梳理案件的证据资料，制定诉讼方案和策略；</w:t>
      </w:r>
    </w:p>
    <w:p w14:paraId="56DF035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3</w:t>
      </w:r>
      <w:r>
        <w:rPr>
          <w:rFonts w:ascii="仿宋" w:hAnsi="仿宋" w:eastAsia="仿宋" w:cs="Times New Roman"/>
          <w:color w:val="auto"/>
          <w:kern w:val="0"/>
          <w:sz w:val="28"/>
          <w:szCs w:val="28"/>
          <w:highlight w:val="none"/>
        </w:rPr>
        <w:t>）准备草拟</w:t>
      </w:r>
      <w:r>
        <w:rPr>
          <w:rFonts w:hint="eastAsia" w:ascii="仿宋" w:hAnsi="仿宋" w:eastAsia="仿宋" w:cs="Times New Roman"/>
          <w:color w:val="auto"/>
          <w:kern w:val="0"/>
          <w:sz w:val="28"/>
          <w:szCs w:val="28"/>
          <w:highlight w:val="none"/>
        </w:rPr>
        <w:t>起诉状/答辩状</w:t>
      </w:r>
      <w:r>
        <w:rPr>
          <w:rFonts w:ascii="仿宋" w:hAnsi="仿宋" w:eastAsia="仿宋" w:cs="Times New Roman"/>
          <w:color w:val="auto"/>
          <w:kern w:val="0"/>
          <w:sz w:val="28"/>
          <w:szCs w:val="28"/>
          <w:highlight w:val="none"/>
        </w:rPr>
        <w:t>、代理词、证据清单等法律文书；</w:t>
      </w:r>
    </w:p>
    <w:p w14:paraId="448EEB47">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4</w:t>
      </w:r>
      <w:r>
        <w:rPr>
          <w:rFonts w:ascii="仿宋" w:hAnsi="仿宋" w:eastAsia="仿宋" w:cs="Times New Roman"/>
          <w:color w:val="auto"/>
          <w:kern w:val="0"/>
          <w:sz w:val="28"/>
          <w:szCs w:val="28"/>
          <w:highlight w:val="none"/>
        </w:rPr>
        <w:t>）代理与本案相关的一审、二审、</w:t>
      </w:r>
      <w:r>
        <w:rPr>
          <w:rFonts w:hint="eastAsia" w:ascii="仿宋" w:hAnsi="仿宋" w:eastAsia="仿宋" w:cs="Times New Roman"/>
          <w:color w:val="auto"/>
          <w:kern w:val="0"/>
          <w:sz w:val="28"/>
          <w:szCs w:val="28"/>
          <w:highlight w:val="none"/>
        </w:rPr>
        <w:t>再审（若有）</w:t>
      </w:r>
      <w:r>
        <w:rPr>
          <w:rFonts w:hint="eastAsia" w:ascii="仿宋" w:hAnsi="仿宋" w:eastAsia="仿宋" w:cs="Times New Roman"/>
          <w:color w:val="auto"/>
          <w:kern w:val="0"/>
          <w:sz w:val="28"/>
          <w:szCs w:val="28"/>
          <w:highlight w:val="none"/>
          <w:lang w:eastAsia="zh-CN"/>
        </w:rPr>
        <w:t>，</w:t>
      </w:r>
      <w:r>
        <w:rPr>
          <w:rFonts w:hint="eastAsia" w:ascii="仿宋" w:hAnsi="仿宋" w:eastAsia="仿宋" w:cs="Times New Roman"/>
          <w:color w:val="auto"/>
          <w:kern w:val="0"/>
          <w:sz w:val="28"/>
          <w:szCs w:val="28"/>
          <w:highlight w:val="none"/>
        </w:rPr>
        <w:t>含反诉</w:t>
      </w:r>
      <w:r>
        <w:rPr>
          <w:rFonts w:ascii="仿宋" w:hAnsi="仿宋" w:eastAsia="仿宋" w:cs="Times New Roman"/>
          <w:color w:val="auto"/>
          <w:kern w:val="0"/>
          <w:sz w:val="28"/>
          <w:szCs w:val="28"/>
          <w:highlight w:val="none"/>
        </w:rPr>
        <w:t>；</w:t>
      </w:r>
    </w:p>
    <w:p w14:paraId="39E4ED1E">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5</w:t>
      </w:r>
      <w:r>
        <w:rPr>
          <w:rFonts w:ascii="仿宋" w:hAnsi="仿宋" w:eastAsia="仿宋" w:cs="Times New Roman"/>
          <w:color w:val="auto"/>
          <w:kern w:val="0"/>
          <w:sz w:val="28"/>
          <w:szCs w:val="28"/>
          <w:highlight w:val="none"/>
        </w:rPr>
        <w:t>）向法院递交相应的文书和资料、领取法院的相关法律文书；</w:t>
      </w:r>
    </w:p>
    <w:p w14:paraId="1E69681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6</w:t>
      </w:r>
      <w:r>
        <w:rPr>
          <w:rFonts w:ascii="仿宋" w:hAnsi="仿宋" w:eastAsia="仿宋" w:cs="Times New Roman"/>
          <w:color w:val="auto"/>
          <w:kern w:val="0"/>
          <w:sz w:val="28"/>
          <w:szCs w:val="28"/>
          <w:highlight w:val="none"/>
        </w:rPr>
        <w:t>）受</w:t>
      </w:r>
      <w:r>
        <w:rPr>
          <w:rFonts w:hint="eastAsia" w:ascii="仿宋" w:hAnsi="仿宋" w:eastAsia="仿宋" w:cs="Times New Roman"/>
          <w:color w:val="auto"/>
          <w:kern w:val="0"/>
          <w:sz w:val="28"/>
          <w:szCs w:val="28"/>
          <w:highlight w:val="none"/>
          <w:lang w:val="en-US" w:eastAsia="zh-CN"/>
        </w:rPr>
        <w:t>比选</w:t>
      </w:r>
      <w:r>
        <w:rPr>
          <w:rFonts w:ascii="仿宋" w:hAnsi="仿宋" w:eastAsia="仿宋" w:cs="Times New Roman"/>
          <w:color w:val="auto"/>
          <w:kern w:val="0"/>
          <w:sz w:val="28"/>
          <w:szCs w:val="28"/>
          <w:highlight w:val="none"/>
        </w:rPr>
        <w:t>人委托参加可能发生的诉讼程序、谈判、和解、调解活动，就调解、和解方案提出意见，并出具书面的法律意见书；</w:t>
      </w:r>
    </w:p>
    <w:p w14:paraId="4CCA620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7</w:t>
      </w:r>
      <w:r>
        <w:rPr>
          <w:rFonts w:ascii="仿宋" w:hAnsi="仿宋" w:eastAsia="仿宋" w:cs="Times New Roman"/>
          <w:color w:val="auto"/>
          <w:kern w:val="0"/>
          <w:sz w:val="28"/>
          <w:szCs w:val="28"/>
          <w:highlight w:val="none"/>
        </w:rPr>
        <w:t>）提起上诉，拟定上诉状，参加应诉工作；</w:t>
      </w:r>
    </w:p>
    <w:p w14:paraId="0B1F0760">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8</w:t>
      </w:r>
      <w:r>
        <w:rPr>
          <w:rFonts w:ascii="仿宋" w:hAnsi="仿宋" w:eastAsia="仿宋" w:cs="Times New Roman"/>
          <w:color w:val="auto"/>
          <w:kern w:val="0"/>
          <w:sz w:val="28"/>
          <w:szCs w:val="28"/>
          <w:highlight w:val="none"/>
        </w:rPr>
        <w:t>）在重要节点，以工作报告形式及时通报委托事项办理进展，征求意见；</w:t>
      </w:r>
    </w:p>
    <w:p w14:paraId="406AB22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9</w:t>
      </w:r>
      <w:r>
        <w:rPr>
          <w:rFonts w:ascii="仿宋" w:hAnsi="仿宋" w:eastAsia="仿宋" w:cs="Times New Roman"/>
          <w:color w:val="auto"/>
          <w:kern w:val="0"/>
          <w:sz w:val="28"/>
          <w:szCs w:val="28"/>
          <w:highlight w:val="none"/>
        </w:rPr>
        <w:t>）代理案件执行工作；</w:t>
      </w:r>
    </w:p>
    <w:p w14:paraId="5840AE6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w:t>
      </w:r>
      <w:r>
        <w:rPr>
          <w:rFonts w:hint="eastAsia" w:ascii="仿宋" w:hAnsi="仿宋" w:eastAsia="仿宋" w:cs="Times New Roman"/>
          <w:color w:val="auto"/>
          <w:kern w:val="0"/>
          <w:sz w:val="28"/>
          <w:szCs w:val="28"/>
          <w:highlight w:val="none"/>
        </w:rPr>
        <w:t>10</w:t>
      </w:r>
      <w:r>
        <w:rPr>
          <w:rFonts w:ascii="仿宋" w:hAnsi="仿宋" w:eastAsia="仿宋" w:cs="Times New Roman"/>
          <w:color w:val="auto"/>
          <w:kern w:val="0"/>
          <w:sz w:val="28"/>
          <w:szCs w:val="28"/>
          <w:highlight w:val="none"/>
        </w:rPr>
        <w:t xml:space="preserve">）其他与案件相关的法律事务。       </w:t>
      </w:r>
    </w:p>
    <w:p w14:paraId="446F560C">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2.4质量标准：满足行业及比选人要求;</w:t>
      </w:r>
    </w:p>
    <w:p w14:paraId="14F9048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0" w:name="_Toc118755"/>
      <w:bookmarkStart w:id="11" w:name="_Toc30467"/>
      <w:bookmarkStart w:id="12" w:name="_Toc128141190"/>
      <w:bookmarkStart w:id="13" w:name="_Toc8468"/>
      <w:r>
        <w:rPr>
          <w:rFonts w:ascii="仿宋" w:hAnsi="仿宋" w:eastAsia="仿宋" w:cs="Times New Roman"/>
          <w:color w:val="auto"/>
          <w:kern w:val="0"/>
          <w:sz w:val="28"/>
          <w:szCs w:val="28"/>
          <w:highlight w:val="none"/>
        </w:rPr>
        <w:t>2.5项目概述：</w:t>
      </w:r>
    </w:p>
    <w:p w14:paraId="3E56C993">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（一）案件1:</w:t>
      </w:r>
      <w:r>
        <w:rPr>
          <w:rFonts w:hint="eastAsia" w:ascii="仿宋" w:hAnsi="仿宋" w:eastAsia="仿宋" w:cs="Times New Roman"/>
          <w:color w:val="auto"/>
          <w:kern w:val="0"/>
          <w:sz w:val="28"/>
          <w:szCs w:val="28"/>
          <w:highlight w:val="none"/>
          <w:lang w:val="en-US" w:eastAsia="zh-CN"/>
        </w:rPr>
        <w:t>比选</w:t>
      </w:r>
      <w:r>
        <w:rPr>
          <w:rFonts w:hint="eastAsia" w:ascii="仿宋" w:hAnsi="仿宋" w:eastAsia="仿宋" w:cs="Times New Roman"/>
          <w:color w:val="auto"/>
          <w:kern w:val="0"/>
          <w:sz w:val="28"/>
          <w:szCs w:val="28"/>
          <w:highlight w:val="none"/>
        </w:rPr>
        <w:t>人与江苏某国企</w:t>
      </w:r>
      <w:r>
        <w:rPr>
          <w:rFonts w:hint="eastAsia" w:ascii="仿宋" w:hAnsi="仿宋" w:eastAsia="仿宋" w:cs="Times New Roman"/>
          <w:color w:val="auto"/>
          <w:kern w:val="0"/>
          <w:sz w:val="28"/>
          <w:szCs w:val="28"/>
          <w:highlight w:val="none"/>
          <w:lang w:val="en-US" w:eastAsia="zh-CN"/>
        </w:rPr>
        <w:t>1</w:t>
      </w:r>
      <w:r>
        <w:rPr>
          <w:rFonts w:hint="eastAsia" w:ascii="仿宋" w:hAnsi="仿宋" w:eastAsia="仿宋" w:cs="Times New Roman"/>
          <w:color w:val="auto"/>
          <w:kern w:val="0"/>
          <w:sz w:val="28"/>
          <w:szCs w:val="28"/>
          <w:highlight w:val="none"/>
        </w:rPr>
        <w:t>于2025年3月签订《钢铁原材料年度购销合同》，并于2025年3月根据合同约定向对方支付保证金2</w:t>
      </w:r>
      <w:r>
        <w:rPr>
          <w:rFonts w:hint="eastAsia" w:ascii="仿宋" w:hAnsi="仿宋" w:eastAsia="仿宋" w:cs="Times New Roman"/>
          <w:color w:val="auto"/>
          <w:kern w:val="0"/>
          <w:sz w:val="28"/>
          <w:szCs w:val="28"/>
          <w:highlight w:val="none"/>
          <w:lang w:val="en-US" w:eastAsia="zh-CN"/>
        </w:rPr>
        <w:t>,</w:t>
      </w:r>
      <w:r>
        <w:rPr>
          <w:rFonts w:hint="eastAsia" w:ascii="仿宋" w:hAnsi="仿宋" w:eastAsia="仿宋" w:cs="Times New Roman"/>
          <w:color w:val="auto"/>
          <w:kern w:val="0"/>
          <w:sz w:val="28"/>
          <w:szCs w:val="28"/>
          <w:highlight w:val="none"/>
        </w:rPr>
        <w:t>960.4</w:t>
      </w:r>
      <w:r>
        <w:rPr>
          <w:rFonts w:hint="eastAsia" w:ascii="仿宋" w:hAnsi="仿宋" w:eastAsia="仿宋" w:cs="Times New Roman"/>
          <w:color w:val="auto"/>
          <w:kern w:val="0"/>
          <w:sz w:val="28"/>
          <w:szCs w:val="28"/>
          <w:highlight w:val="none"/>
          <w:lang w:val="en-US" w:eastAsia="zh-CN"/>
        </w:rPr>
        <w:t>0</w:t>
      </w:r>
      <w:r>
        <w:rPr>
          <w:rFonts w:hint="eastAsia" w:ascii="仿宋" w:hAnsi="仿宋" w:eastAsia="仿宋" w:cs="Times New Roman"/>
          <w:color w:val="auto"/>
          <w:kern w:val="0"/>
          <w:sz w:val="28"/>
          <w:szCs w:val="28"/>
          <w:highlight w:val="none"/>
        </w:rPr>
        <w:t>万元。根据合同约定在合同有效期内，与</w:t>
      </w:r>
      <w:r>
        <w:rPr>
          <w:rFonts w:hint="eastAsia" w:ascii="仿宋" w:hAnsi="仿宋" w:eastAsia="仿宋" w:cs="Times New Roman"/>
          <w:color w:val="auto"/>
          <w:kern w:val="0"/>
          <w:sz w:val="28"/>
          <w:szCs w:val="28"/>
          <w:highlight w:val="none"/>
          <w:lang w:val="en-US" w:eastAsia="zh-CN"/>
        </w:rPr>
        <w:t>比选</w:t>
      </w:r>
      <w:r>
        <w:rPr>
          <w:rFonts w:hint="eastAsia" w:ascii="仿宋" w:hAnsi="仿宋" w:eastAsia="仿宋" w:cs="Times New Roman"/>
          <w:color w:val="auto"/>
          <w:kern w:val="0"/>
          <w:sz w:val="28"/>
          <w:szCs w:val="28"/>
          <w:highlight w:val="none"/>
        </w:rPr>
        <w:t>人签订《订货确认书》，并确保向</w:t>
      </w:r>
      <w:r>
        <w:rPr>
          <w:rFonts w:hint="eastAsia" w:ascii="仿宋" w:hAnsi="仿宋" w:eastAsia="仿宋" w:cs="Times New Roman"/>
          <w:color w:val="auto"/>
          <w:kern w:val="0"/>
          <w:sz w:val="28"/>
          <w:szCs w:val="28"/>
          <w:highlight w:val="none"/>
          <w:lang w:val="en-US" w:eastAsia="zh-CN"/>
        </w:rPr>
        <w:t>比选</w:t>
      </w:r>
      <w:r>
        <w:rPr>
          <w:rFonts w:hint="eastAsia" w:ascii="仿宋" w:hAnsi="仿宋" w:eastAsia="仿宋" w:cs="Times New Roman"/>
          <w:color w:val="auto"/>
          <w:kern w:val="0"/>
          <w:sz w:val="28"/>
          <w:szCs w:val="28"/>
          <w:highlight w:val="none"/>
        </w:rPr>
        <w:t>人供应本合同项下总履约金额不低于37</w:t>
      </w:r>
      <w:r>
        <w:rPr>
          <w:rFonts w:hint="eastAsia" w:ascii="仿宋" w:hAnsi="仿宋" w:eastAsia="仿宋" w:cs="Times New Roman"/>
          <w:color w:val="auto"/>
          <w:kern w:val="0"/>
          <w:sz w:val="28"/>
          <w:szCs w:val="28"/>
          <w:highlight w:val="none"/>
          <w:lang w:val="en-US" w:eastAsia="zh-CN"/>
        </w:rPr>
        <w:t>,</w:t>
      </w:r>
      <w:r>
        <w:rPr>
          <w:rFonts w:hint="eastAsia" w:ascii="仿宋" w:hAnsi="仿宋" w:eastAsia="仿宋" w:cs="Times New Roman"/>
          <w:color w:val="auto"/>
          <w:kern w:val="0"/>
          <w:sz w:val="28"/>
          <w:szCs w:val="28"/>
          <w:highlight w:val="none"/>
        </w:rPr>
        <w:t>005</w:t>
      </w:r>
      <w:r>
        <w:rPr>
          <w:rFonts w:hint="eastAsia" w:ascii="仿宋" w:hAnsi="仿宋" w:eastAsia="仿宋" w:cs="Times New Roman"/>
          <w:color w:val="auto"/>
          <w:kern w:val="0"/>
          <w:sz w:val="28"/>
          <w:szCs w:val="28"/>
          <w:highlight w:val="none"/>
          <w:lang w:val="en-US" w:eastAsia="zh-CN"/>
        </w:rPr>
        <w:t>.00</w:t>
      </w:r>
      <w:r>
        <w:rPr>
          <w:rFonts w:hint="eastAsia" w:ascii="仿宋" w:hAnsi="仿宋" w:eastAsia="仿宋" w:cs="Times New Roman"/>
          <w:color w:val="auto"/>
          <w:kern w:val="0"/>
          <w:sz w:val="28"/>
          <w:szCs w:val="28"/>
          <w:highlight w:val="none"/>
        </w:rPr>
        <w:t>万元人民币的货物。截至目前，在</w:t>
      </w:r>
      <w:r>
        <w:rPr>
          <w:rFonts w:hint="eastAsia" w:ascii="仿宋" w:hAnsi="仿宋" w:eastAsia="仿宋" w:cs="Times New Roman"/>
          <w:color w:val="auto"/>
          <w:kern w:val="0"/>
          <w:sz w:val="28"/>
          <w:szCs w:val="28"/>
          <w:highlight w:val="none"/>
          <w:lang w:val="en-US" w:eastAsia="zh-CN"/>
        </w:rPr>
        <w:t>比选</w:t>
      </w:r>
      <w:r>
        <w:rPr>
          <w:rFonts w:hint="eastAsia" w:ascii="仿宋" w:hAnsi="仿宋" w:eastAsia="仿宋" w:cs="Times New Roman"/>
          <w:color w:val="auto"/>
          <w:kern w:val="0"/>
          <w:sz w:val="28"/>
          <w:szCs w:val="28"/>
          <w:highlight w:val="none"/>
        </w:rPr>
        <w:t>人向其发送工作联系函及律师函后，本项目仍未正常履行，仅向</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退还50</w:t>
      </w:r>
      <w:r>
        <w:rPr>
          <w:rFonts w:hint="eastAsia" w:ascii="仿宋" w:hAnsi="仿宋" w:eastAsia="仿宋" w:cs="Times New Roman"/>
          <w:color w:val="auto"/>
          <w:kern w:val="0"/>
          <w:sz w:val="28"/>
          <w:szCs w:val="28"/>
          <w:highlight w:val="none"/>
          <w:lang w:val="en-US" w:eastAsia="zh-CN"/>
        </w:rPr>
        <w:t>.00</w:t>
      </w:r>
      <w:r>
        <w:rPr>
          <w:rFonts w:hint="eastAsia" w:ascii="仿宋" w:hAnsi="仿宋" w:eastAsia="仿宋" w:cs="Times New Roman"/>
          <w:color w:val="auto"/>
          <w:kern w:val="0"/>
          <w:sz w:val="28"/>
          <w:szCs w:val="28"/>
          <w:highlight w:val="none"/>
        </w:rPr>
        <w:t>万元保证金，还剩余2</w:t>
      </w:r>
      <w:r>
        <w:rPr>
          <w:rFonts w:hint="eastAsia" w:ascii="仿宋" w:hAnsi="仿宋" w:eastAsia="仿宋" w:cs="Times New Roman"/>
          <w:color w:val="auto"/>
          <w:kern w:val="0"/>
          <w:sz w:val="28"/>
          <w:szCs w:val="28"/>
          <w:highlight w:val="none"/>
          <w:lang w:val="en-US" w:eastAsia="zh-CN"/>
        </w:rPr>
        <w:t>,</w:t>
      </w:r>
      <w:r>
        <w:rPr>
          <w:rFonts w:hint="eastAsia" w:ascii="仿宋" w:hAnsi="仿宋" w:eastAsia="仿宋" w:cs="Times New Roman"/>
          <w:color w:val="auto"/>
          <w:kern w:val="0"/>
          <w:sz w:val="28"/>
          <w:szCs w:val="28"/>
          <w:highlight w:val="none"/>
        </w:rPr>
        <w:t>910</w:t>
      </w:r>
      <w:r>
        <w:rPr>
          <w:rFonts w:hint="eastAsia" w:ascii="仿宋" w:hAnsi="仿宋" w:eastAsia="仿宋" w:cs="Times New Roman"/>
          <w:color w:val="auto"/>
          <w:kern w:val="0"/>
          <w:sz w:val="28"/>
          <w:szCs w:val="28"/>
          <w:highlight w:val="none"/>
          <w:lang w:val="en-US" w:eastAsia="zh-CN"/>
        </w:rPr>
        <w:t>.40</w:t>
      </w:r>
      <w:r>
        <w:rPr>
          <w:rFonts w:hint="eastAsia" w:ascii="仿宋" w:hAnsi="仿宋" w:eastAsia="仿宋" w:cs="Times New Roman"/>
          <w:color w:val="auto"/>
          <w:kern w:val="0"/>
          <w:sz w:val="28"/>
          <w:szCs w:val="28"/>
          <w:highlight w:val="none"/>
        </w:rPr>
        <w:t>万元保证金未退回。</w:t>
      </w:r>
    </w:p>
    <w:p w14:paraId="79D78418">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hint="eastAsia"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（二）案件2</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与江苏某国企</w:t>
      </w:r>
      <w:r>
        <w:rPr>
          <w:rFonts w:hint="eastAsia" w:ascii="仿宋" w:hAnsi="仿宋" w:eastAsia="仿宋" w:cs="Times New Roman"/>
          <w:color w:val="auto"/>
          <w:kern w:val="0"/>
          <w:sz w:val="28"/>
          <w:szCs w:val="28"/>
          <w:highlight w:val="none"/>
          <w:lang w:val="en-US" w:eastAsia="zh-CN"/>
        </w:rPr>
        <w:t>2</w:t>
      </w:r>
      <w:r>
        <w:rPr>
          <w:rFonts w:hint="eastAsia" w:ascii="仿宋" w:hAnsi="仿宋" w:eastAsia="仿宋" w:cs="Times New Roman"/>
          <w:color w:val="auto"/>
          <w:kern w:val="0"/>
          <w:sz w:val="28"/>
          <w:szCs w:val="28"/>
          <w:highlight w:val="none"/>
        </w:rPr>
        <w:t>于2025年3月签订《钢铁原材料年度购销合同》,</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于2025年3月根据合同约定向对方支付保证金2</w:t>
      </w:r>
      <w:r>
        <w:rPr>
          <w:rFonts w:hint="eastAsia" w:ascii="仿宋" w:hAnsi="仿宋" w:eastAsia="仿宋" w:cs="Times New Roman"/>
          <w:color w:val="auto"/>
          <w:kern w:val="0"/>
          <w:sz w:val="28"/>
          <w:szCs w:val="28"/>
          <w:highlight w:val="none"/>
          <w:lang w:val="en-US" w:eastAsia="zh-CN"/>
        </w:rPr>
        <w:t>,</w:t>
      </w:r>
      <w:r>
        <w:rPr>
          <w:rFonts w:hint="eastAsia" w:ascii="仿宋" w:hAnsi="仿宋" w:eastAsia="仿宋" w:cs="Times New Roman"/>
          <w:color w:val="auto"/>
          <w:kern w:val="0"/>
          <w:sz w:val="28"/>
          <w:szCs w:val="28"/>
          <w:highlight w:val="none"/>
        </w:rPr>
        <w:t>964</w:t>
      </w:r>
      <w:r>
        <w:rPr>
          <w:rFonts w:hint="eastAsia" w:ascii="仿宋" w:hAnsi="仿宋" w:eastAsia="仿宋" w:cs="Times New Roman"/>
          <w:color w:val="auto"/>
          <w:kern w:val="0"/>
          <w:sz w:val="28"/>
          <w:szCs w:val="28"/>
          <w:highlight w:val="none"/>
          <w:lang w:val="en-US" w:eastAsia="zh-CN"/>
        </w:rPr>
        <w:t>.00</w:t>
      </w:r>
      <w:r>
        <w:rPr>
          <w:rFonts w:hint="eastAsia" w:ascii="仿宋" w:hAnsi="仿宋" w:eastAsia="仿宋" w:cs="Times New Roman"/>
          <w:color w:val="auto"/>
          <w:kern w:val="0"/>
          <w:sz w:val="28"/>
          <w:szCs w:val="28"/>
          <w:highlight w:val="none"/>
        </w:rPr>
        <w:t>万元。根据合同约定，在合同有效期内，对方需与我司签订《订货确认书》，并确保向</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供应本合同项下总履约金额不低于37</w:t>
      </w:r>
      <w:r>
        <w:rPr>
          <w:rFonts w:hint="eastAsia" w:ascii="仿宋" w:hAnsi="仿宋" w:eastAsia="仿宋" w:cs="Times New Roman"/>
          <w:color w:val="auto"/>
          <w:kern w:val="0"/>
          <w:sz w:val="28"/>
          <w:szCs w:val="28"/>
          <w:highlight w:val="none"/>
          <w:lang w:val="en-US" w:eastAsia="zh-CN"/>
        </w:rPr>
        <w:t>,</w:t>
      </w:r>
      <w:r>
        <w:rPr>
          <w:rFonts w:hint="eastAsia" w:ascii="仿宋" w:hAnsi="仿宋" w:eastAsia="仿宋" w:cs="Times New Roman"/>
          <w:color w:val="auto"/>
          <w:kern w:val="0"/>
          <w:sz w:val="28"/>
          <w:szCs w:val="28"/>
          <w:highlight w:val="none"/>
        </w:rPr>
        <w:t>050</w:t>
      </w:r>
      <w:r>
        <w:rPr>
          <w:rFonts w:hint="eastAsia" w:ascii="仿宋" w:hAnsi="仿宋" w:eastAsia="仿宋" w:cs="Times New Roman"/>
          <w:color w:val="auto"/>
          <w:kern w:val="0"/>
          <w:sz w:val="28"/>
          <w:szCs w:val="28"/>
          <w:highlight w:val="none"/>
          <w:lang w:val="en-US" w:eastAsia="zh-CN"/>
        </w:rPr>
        <w:t>.00</w:t>
      </w:r>
      <w:r>
        <w:rPr>
          <w:rFonts w:hint="eastAsia" w:ascii="仿宋" w:hAnsi="仿宋" w:eastAsia="仿宋" w:cs="Times New Roman"/>
          <w:color w:val="auto"/>
          <w:kern w:val="0"/>
          <w:sz w:val="28"/>
          <w:szCs w:val="28"/>
          <w:highlight w:val="none"/>
        </w:rPr>
        <w:t>万元人民币的货物。截至目前，在</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向其发送工作联系函及律师函后，本项目仍未正常履行，仅向</w:t>
      </w:r>
      <w:r>
        <w:rPr>
          <w:rFonts w:hint="eastAsia" w:ascii="仿宋" w:hAnsi="仿宋" w:eastAsia="仿宋" w:cs="Times New Roman"/>
          <w:color w:val="auto"/>
          <w:kern w:val="0"/>
          <w:sz w:val="28"/>
          <w:szCs w:val="28"/>
          <w:highlight w:val="none"/>
          <w:lang w:eastAsia="zh-CN"/>
        </w:rPr>
        <w:t>比选人</w:t>
      </w:r>
      <w:r>
        <w:rPr>
          <w:rFonts w:hint="eastAsia" w:ascii="仿宋" w:hAnsi="仿宋" w:eastAsia="仿宋" w:cs="Times New Roman"/>
          <w:color w:val="auto"/>
          <w:kern w:val="0"/>
          <w:sz w:val="28"/>
          <w:szCs w:val="28"/>
          <w:highlight w:val="none"/>
        </w:rPr>
        <w:t>退还50</w:t>
      </w:r>
      <w:r>
        <w:rPr>
          <w:rFonts w:hint="eastAsia" w:ascii="仿宋" w:hAnsi="仿宋" w:eastAsia="仿宋" w:cs="Times New Roman"/>
          <w:color w:val="auto"/>
          <w:kern w:val="0"/>
          <w:sz w:val="28"/>
          <w:szCs w:val="28"/>
          <w:highlight w:val="none"/>
          <w:lang w:val="en-US" w:eastAsia="zh-CN"/>
        </w:rPr>
        <w:t>.00</w:t>
      </w:r>
      <w:r>
        <w:rPr>
          <w:rFonts w:hint="eastAsia" w:ascii="仿宋" w:hAnsi="仿宋" w:eastAsia="仿宋" w:cs="Times New Roman"/>
          <w:color w:val="auto"/>
          <w:kern w:val="0"/>
          <w:sz w:val="28"/>
          <w:szCs w:val="28"/>
          <w:highlight w:val="none"/>
        </w:rPr>
        <w:t>万元保证金，还剩余2</w:t>
      </w:r>
      <w:r>
        <w:rPr>
          <w:rFonts w:hint="eastAsia" w:ascii="仿宋" w:hAnsi="仿宋" w:eastAsia="仿宋" w:cs="Times New Roman"/>
          <w:color w:val="auto"/>
          <w:kern w:val="0"/>
          <w:sz w:val="28"/>
          <w:szCs w:val="28"/>
          <w:highlight w:val="none"/>
          <w:lang w:val="en-US" w:eastAsia="zh-CN"/>
        </w:rPr>
        <w:t>,</w:t>
      </w:r>
      <w:r>
        <w:rPr>
          <w:rFonts w:hint="eastAsia" w:ascii="仿宋" w:hAnsi="仿宋" w:eastAsia="仿宋" w:cs="Times New Roman"/>
          <w:color w:val="auto"/>
          <w:kern w:val="0"/>
          <w:sz w:val="28"/>
          <w:szCs w:val="28"/>
          <w:highlight w:val="none"/>
        </w:rPr>
        <w:t>914</w:t>
      </w:r>
      <w:r>
        <w:rPr>
          <w:rFonts w:hint="eastAsia" w:ascii="仿宋" w:hAnsi="仿宋" w:eastAsia="仿宋" w:cs="Times New Roman"/>
          <w:color w:val="auto"/>
          <w:kern w:val="0"/>
          <w:sz w:val="28"/>
          <w:szCs w:val="28"/>
          <w:highlight w:val="none"/>
          <w:lang w:val="en-US" w:eastAsia="zh-CN"/>
        </w:rPr>
        <w:t>.00</w:t>
      </w:r>
      <w:r>
        <w:rPr>
          <w:rFonts w:hint="eastAsia" w:ascii="仿宋" w:hAnsi="仿宋" w:eastAsia="仿宋" w:cs="Times New Roman"/>
          <w:color w:val="auto"/>
          <w:kern w:val="0"/>
          <w:sz w:val="28"/>
          <w:szCs w:val="28"/>
          <w:highlight w:val="none"/>
        </w:rPr>
        <w:t>万元保证金未退回。</w:t>
      </w:r>
    </w:p>
    <w:p w14:paraId="7E44DFC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该项目合同约定管辖地为</w:t>
      </w:r>
      <w:r>
        <w:rPr>
          <w:rFonts w:hint="eastAsia" w:ascii="仿宋" w:hAnsi="仿宋" w:eastAsia="仿宋" w:cs="Times New Roman"/>
          <w:color w:val="auto"/>
          <w:kern w:val="0"/>
          <w:sz w:val="28"/>
          <w:szCs w:val="28"/>
          <w:highlight w:val="none"/>
          <w:lang w:val="en-US" w:eastAsia="zh-CN"/>
        </w:rPr>
        <w:t>四川省成都市锦江区</w:t>
      </w:r>
      <w:r>
        <w:rPr>
          <w:rFonts w:ascii="仿宋" w:hAnsi="仿宋" w:eastAsia="仿宋" w:cs="Times New Roman"/>
          <w:color w:val="auto"/>
          <w:kern w:val="0"/>
          <w:sz w:val="28"/>
          <w:szCs w:val="28"/>
          <w:highlight w:val="none"/>
        </w:rPr>
        <w:t>。</w:t>
      </w:r>
    </w:p>
    <w:p w14:paraId="3349B1D5">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三、参选人资格要求</w:t>
      </w:r>
      <w:bookmarkEnd w:id="10"/>
      <w:bookmarkEnd w:id="11"/>
      <w:bookmarkEnd w:id="12"/>
      <w:bookmarkEnd w:id="13"/>
    </w:p>
    <w:p w14:paraId="2D37F872">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3.1资质要求：参选人须在中华人民共和国境内注册，具有独立承担民事责任的能力，具有司法行政主管部门颁发的《律师事务所执业许可证》，合法存续且年度年检合格。</w:t>
      </w:r>
    </w:p>
    <w:p w14:paraId="5742EC8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3.2参选人须具有良好的商业信誉，在“信用中国”网站上查询无严重违</w:t>
      </w:r>
      <w:r>
        <w:rPr>
          <w:rFonts w:hint="eastAsia" w:ascii="仿宋" w:hAnsi="仿宋" w:eastAsia="仿宋" w:cs="Times New Roman"/>
          <w:color w:val="auto"/>
          <w:kern w:val="0"/>
          <w:sz w:val="28"/>
          <w:szCs w:val="28"/>
          <w:highlight w:val="none"/>
        </w:rPr>
        <w:t>法</w:t>
      </w:r>
      <w:r>
        <w:rPr>
          <w:rFonts w:ascii="仿宋" w:hAnsi="仿宋" w:eastAsia="仿宋" w:cs="Times New Roman"/>
          <w:color w:val="auto"/>
          <w:kern w:val="0"/>
          <w:sz w:val="28"/>
          <w:szCs w:val="28"/>
          <w:highlight w:val="none"/>
        </w:rPr>
        <w:t>失信、经营异常，没有处于参选禁入期内，参加本次比选活动前三年内，在经营活动中没有重大违法记录。</w:t>
      </w:r>
    </w:p>
    <w:p w14:paraId="3D77E87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3.3律所及团队成员无刑事犯罪记录，近3年内未受过纪律处分、行政处罚或行业处分。</w:t>
      </w:r>
    </w:p>
    <w:p w14:paraId="3C1D90F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3.4参选人须具有与本比选项目相应的法律服务能力，参选人需指派三名专职律师承办本案，其中项目负责人律师执业年限在3年（含）以上。</w:t>
      </w:r>
    </w:p>
    <w:p w14:paraId="554E4F7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3.5本次比选不接受联合体参选。 </w:t>
      </w:r>
    </w:p>
    <w:p w14:paraId="384C0B0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四、比选文件的获取 </w:t>
      </w:r>
    </w:p>
    <w:p w14:paraId="58501A9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4" w:name="_Toc13658"/>
      <w:bookmarkStart w:id="15" w:name="_Toc128141191"/>
      <w:bookmarkStart w:id="16" w:name="_Toc15490"/>
      <w:bookmarkStart w:id="17" w:name="_Toc118756"/>
      <w:r>
        <w:rPr>
          <w:rFonts w:ascii="仿宋" w:hAnsi="仿宋" w:eastAsia="仿宋" w:cs="Times New Roman"/>
          <w:color w:val="auto"/>
          <w:kern w:val="0"/>
          <w:sz w:val="28"/>
          <w:szCs w:val="28"/>
          <w:highlight w:val="none"/>
        </w:rPr>
        <w:t>1.获取比选文件时间：自2025年</w:t>
      </w:r>
      <w:r>
        <w:rPr>
          <w:rFonts w:hint="eastAsia" w:ascii="仿宋" w:hAnsi="仿宋" w:eastAsia="仿宋" w:cs="Times New Roman"/>
          <w:color w:val="auto"/>
          <w:kern w:val="0"/>
          <w:sz w:val="28"/>
          <w:szCs w:val="28"/>
          <w:highlight w:val="none"/>
          <w:lang w:val="en-US" w:eastAsia="zh-CN"/>
        </w:rPr>
        <w:t>12</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25</w:t>
      </w:r>
      <w:r>
        <w:rPr>
          <w:rFonts w:ascii="仿宋" w:hAnsi="仿宋" w:eastAsia="仿宋" w:cs="Times New Roman"/>
          <w:color w:val="auto"/>
          <w:kern w:val="0"/>
          <w:sz w:val="28"/>
          <w:szCs w:val="28"/>
          <w:highlight w:val="none"/>
        </w:rPr>
        <w:t>日至202</w:t>
      </w:r>
      <w:r>
        <w:rPr>
          <w:rFonts w:hint="eastAsia" w:ascii="仿宋" w:hAnsi="仿宋" w:eastAsia="仿宋" w:cs="Times New Roman"/>
          <w:color w:val="auto"/>
          <w:kern w:val="0"/>
          <w:sz w:val="28"/>
          <w:szCs w:val="28"/>
          <w:highlight w:val="none"/>
          <w:lang w:val="en-US" w:eastAsia="zh-CN"/>
        </w:rPr>
        <w:t>5</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12</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31</w:t>
      </w:r>
      <w:r>
        <w:rPr>
          <w:rFonts w:ascii="仿宋" w:hAnsi="仿宋" w:eastAsia="仿宋" w:cs="Times New Roman"/>
          <w:color w:val="auto"/>
          <w:kern w:val="0"/>
          <w:sz w:val="28"/>
          <w:szCs w:val="28"/>
          <w:highlight w:val="none"/>
        </w:rPr>
        <w:t>日上午10:30前。</w:t>
      </w:r>
    </w:p>
    <w:p w14:paraId="1418967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2.比选文件获取方式：本次比选公告在四川蜀道物流集团有限公司网站（https://www.shudaowl.com/xwzx/jtyw/index.shtml）发布。参选人通过指定网站自行下载。</w:t>
      </w:r>
    </w:p>
    <w:p w14:paraId="0E50AF3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18" w:name="_Toc6668"/>
      <w:bookmarkStart w:id="19" w:name="_Toc10949"/>
      <w:bookmarkStart w:id="20" w:name="_Toc17101"/>
      <w:r>
        <w:rPr>
          <w:rFonts w:ascii="仿宋" w:hAnsi="仿宋" w:eastAsia="仿宋" w:cs="Times New Roman"/>
          <w:color w:val="auto"/>
          <w:kern w:val="0"/>
          <w:sz w:val="28"/>
          <w:szCs w:val="28"/>
          <w:highlight w:val="none"/>
        </w:rPr>
        <w:t>五、比选</w:t>
      </w:r>
      <w:r>
        <w:rPr>
          <w:rFonts w:hint="eastAsia" w:ascii="仿宋" w:hAnsi="仿宋" w:eastAsia="仿宋" w:cs="Times New Roman"/>
          <w:color w:val="auto"/>
          <w:kern w:val="0"/>
          <w:sz w:val="28"/>
          <w:szCs w:val="28"/>
          <w:highlight w:val="none"/>
        </w:rPr>
        <w:t>响应文件</w:t>
      </w:r>
      <w:r>
        <w:rPr>
          <w:rFonts w:ascii="仿宋" w:hAnsi="仿宋" w:eastAsia="仿宋" w:cs="Times New Roman"/>
          <w:color w:val="auto"/>
          <w:kern w:val="0"/>
          <w:sz w:val="28"/>
          <w:szCs w:val="28"/>
          <w:highlight w:val="none"/>
        </w:rPr>
        <w:t>的递交</w:t>
      </w:r>
      <w:bookmarkEnd w:id="18"/>
      <w:bookmarkEnd w:id="19"/>
      <w:bookmarkEnd w:id="20"/>
    </w:p>
    <w:p w14:paraId="485DB67A">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5.1 比选响应文件递交的截止时间（比选截止时间，下同）为202</w:t>
      </w:r>
      <w:r>
        <w:rPr>
          <w:rFonts w:hint="eastAsia" w:ascii="仿宋" w:hAnsi="仿宋" w:eastAsia="仿宋" w:cs="Times New Roman"/>
          <w:color w:val="auto"/>
          <w:kern w:val="0"/>
          <w:sz w:val="28"/>
          <w:szCs w:val="28"/>
          <w:highlight w:val="none"/>
          <w:lang w:val="en-US" w:eastAsia="zh-CN"/>
        </w:rPr>
        <w:t>5</w:t>
      </w:r>
      <w:r>
        <w:rPr>
          <w:rFonts w:ascii="仿宋" w:hAnsi="仿宋" w:eastAsia="仿宋" w:cs="Times New Roman"/>
          <w:color w:val="auto"/>
          <w:kern w:val="0"/>
          <w:sz w:val="28"/>
          <w:szCs w:val="28"/>
          <w:highlight w:val="none"/>
        </w:rPr>
        <w:t>年</w:t>
      </w:r>
      <w:r>
        <w:rPr>
          <w:rFonts w:hint="eastAsia" w:ascii="仿宋" w:hAnsi="仿宋" w:eastAsia="仿宋" w:cs="Times New Roman"/>
          <w:color w:val="auto"/>
          <w:kern w:val="0"/>
          <w:sz w:val="28"/>
          <w:szCs w:val="28"/>
          <w:highlight w:val="none"/>
          <w:lang w:val="en-US" w:eastAsia="zh-CN"/>
        </w:rPr>
        <w:t>12</w:t>
      </w:r>
      <w:r>
        <w:rPr>
          <w:rFonts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31</w:t>
      </w:r>
      <w:r>
        <w:rPr>
          <w:rFonts w:ascii="仿宋" w:hAnsi="仿宋" w:eastAsia="仿宋" w:cs="Times New Roman"/>
          <w:color w:val="auto"/>
          <w:kern w:val="0"/>
          <w:sz w:val="28"/>
          <w:szCs w:val="28"/>
          <w:highlight w:val="none"/>
        </w:rPr>
        <w:t xml:space="preserve">日上午10时30分，地点为成都市青羊区光华北五路266号青羊总部经济基地2栋A座11楼。 </w:t>
      </w:r>
    </w:p>
    <w:p w14:paraId="4E2E51B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5.2 逾期送达的、未送达指定地点的或者不按照比选文件要求密封的比选响应文件，比选人将予以拒收。 </w:t>
      </w:r>
      <w:bookmarkEnd w:id="14"/>
      <w:bookmarkEnd w:id="15"/>
      <w:bookmarkEnd w:id="16"/>
      <w:bookmarkEnd w:id="17"/>
    </w:p>
    <w:p w14:paraId="6200D84D">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bookmarkStart w:id="21" w:name="_Toc44"/>
      <w:bookmarkStart w:id="22" w:name="_Toc11556"/>
      <w:bookmarkStart w:id="23" w:name="_Toc3060"/>
      <w:r>
        <w:rPr>
          <w:rFonts w:ascii="仿宋" w:hAnsi="仿宋" w:eastAsia="仿宋" w:cs="Times New Roman"/>
          <w:color w:val="auto"/>
          <w:kern w:val="0"/>
          <w:sz w:val="28"/>
          <w:szCs w:val="28"/>
          <w:highlight w:val="none"/>
        </w:rPr>
        <w:t>六、比选结果</w:t>
      </w:r>
      <w:bookmarkEnd w:id="21"/>
      <w:bookmarkEnd w:id="22"/>
      <w:bookmarkEnd w:id="23"/>
      <w:r>
        <w:rPr>
          <w:rFonts w:ascii="仿宋" w:hAnsi="仿宋" w:eastAsia="仿宋" w:cs="Times New Roman"/>
          <w:color w:val="auto"/>
          <w:kern w:val="0"/>
          <w:sz w:val="28"/>
          <w:szCs w:val="28"/>
          <w:highlight w:val="none"/>
        </w:rPr>
        <w:t>公示</w:t>
      </w:r>
    </w:p>
    <w:p w14:paraId="5576FC7B">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比选人在收到评审报告之日起15日内，将比选结果在四川蜀道物流集团有限公司网站（https://www.shudaowl.com/xwzx/jtyw/index.shtml）上进行公示，以接受社会公开监督。</w:t>
      </w:r>
      <w:r>
        <w:rPr>
          <w:rFonts w:hint="eastAsia" w:ascii="仿宋" w:hAnsi="仿宋" w:eastAsia="仿宋" w:cs="Times New Roman"/>
          <w:color w:val="auto"/>
          <w:kern w:val="0"/>
          <w:sz w:val="28"/>
          <w:szCs w:val="28"/>
          <w:highlight w:val="none"/>
        </w:rPr>
        <w:t>参选</w:t>
      </w:r>
      <w:r>
        <w:rPr>
          <w:rFonts w:ascii="仿宋" w:hAnsi="仿宋" w:eastAsia="仿宋" w:cs="Times New Roman"/>
          <w:color w:val="auto"/>
          <w:kern w:val="0"/>
          <w:sz w:val="28"/>
          <w:szCs w:val="28"/>
          <w:highlight w:val="none"/>
        </w:rPr>
        <w:t>人或者其他利害关系人对评审结果有异议的，应当在公示期间提出。</w:t>
      </w:r>
    </w:p>
    <w:p w14:paraId="50C0D3D9">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 xml:space="preserve">七、联系方式 </w:t>
      </w:r>
    </w:p>
    <w:p w14:paraId="108C0B85">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比选人：四川蜀物兴川物流发展有限公司</w:t>
      </w:r>
    </w:p>
    <w:p w14:paraId="67A29F11">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地</w:t>
      </w:r>
      <w:r>
        <w:rPr>
          <w:rFonts w:hint="eastAsia" w:ascii="仿宋" w:hAnsi="仿宋" w:eastAsia="仿宋" w:cs="Times New Roman"/>
          <w:color w:val="auto"/>
          <w:kern w:val="0"/>
          <w:sz w:val="28"/>
          <w:szCs w:val="28"/>
          <w:highlight w:val="none"/>
        </w:rPr>
        <w:t xml:space="preserve">  </w:t>
      </w:r>
      <w:r>
        <w:rPr>
          <w:rFonts w:ascii="仿宋" w:hAnsi="仿宋" w:eastAsia="仿宋" w:cs="Times New Roman"/>
          <w:color w:val="auto"/>
          <w:kern w:val="0"/>
          <w:sz w:val="28"/>
          <w:szCs w:val="28"/>
          <w:highlight w:val="none"/>
        </w:rPr>
        <w:t>址：成都市青羊区光华北五路266号青羊总部经济基地2栋A座11层</w:t>
      </w:r>
    </w:p>
    <w:p w14:paraId="64BD4064">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联系人：高老师</w:t>
      </w:r>
    </w:p>
    <w:p w14:paraId="4B5C27C6">
      <w:pPr>
        <w:pageBreakBefore w:val="0"/>
        <w:widowControl w:val="0"/>
        <w:kinsoku/>
        <w:wordWrap/>
        <w:overflowPunct/>
        <w:topLinePunct w:val="0"/>
        <w:autoSpaceDE/>
        <w:autoSpaceDN/>
        <w:bidi w:val="0"/>
        <w:adjustRightInd/>
        <w:snapToGrid/>
        <w:spacing w:after="0" w:line="520" w:lineRule="exact"/>
        <w:ind w:left="0" w:leftChars="0" w:firstLine="560" w:firstLineChars="200"/>
        <w:jc w:val="both"/>
        <w:textAlignment w:val="auto"/>
        <w:rPr>
          <w:rFonts w:ascii="仿宋" w:hAnsi="仿宋" w:eastAsia="仿宋" w:cs="Times New Roman"/>
          <w:color w:val="auto"/>
          <w:kern w:val="0"/>
          <w:sz w:val="28"/>
          <w:szCs w:val="28"/>
          <w:highlight w:val="none"/>
        </w:rPr>
      </w:pPr>
      <w:r>
        <w:rPr>
          <w:rFonts w:ascii="仿宋" w:hAnsi="仿宋" w:eastAsia="仿宋" w:cs="Times New Roman"/>
          <w:color w:val="auto"/>
          <w:kern w:val="0"/>
          <w:sz w:val="28"/>
          <w:szCs w:val="28"/>
          <w:highlight w:val="none"/>
        </w:rPr>
        <w:t>联系电话：18883114065</w:t>
      </w:r>
    </w:p>
    <w:bookmarkEnd w:id="5"/>
    <w:p w14:paraId="296EC2E7">
      <w:pPr>
        <w:pageBreakBefore w:val="0"/>
        <w:widowControl w:val="0"/>
        <w:kinsoku/>
        <w:wordWrap/>
        <w:overflowPunct/>
        <w:topLinePunct w:val="0"/>
        <w:autoSpaceDE/>
        <w:autoSpaceDN/>
        <w:bidi w:val="0"/>
        <w:adjustRightInd/>
        <w:snapToGrid/>
        <w:spacing w:after="0" w:line="520" w:lineRule="exact"/>
        <w:ind w:left="0" w:leftChars="0"/>
        <w:jc w:val="both"/>
        <w:textAlignment w:val="auto"/>
        <w:rPr>
          <w:rFonts w:ascii="仿宋" w:hAnsi="仿宋" w:eastAsia="仿宋" w:cs="Times New Roman"/>
          <w:color w:val="auto"/>
          <w:kern w:val="0"/>
          <w:sz w:val="28"/>
          <w:szCs w:val="28"/>
          <w:highlight w:val="none"/>
        </w:rPr>
      </w:pPr>
    </w:p>
    <w:p w14:paraId="1937E7F2">
      <w:pPr>
        <w:pStyle w:val="2"/>
        <w:pageBreakBefore w:val="0"/>
        <w:kinsoku/>
        <w:wordWrap/>
        <w:overflowPunct/>
        <w:topLinePunct w:val="0"/>
        <w:autoSpaceDE/>
        <w:autoSpaceDN/>
        <w:bidi w:val="0"/>
        <w:adjustRightInd/>
        <w:snapToGrid/>
        <w:spacing w:line="520" w:lineRule="exact"/>
        <w:ind w:left="0" w:leftChars="0" w:firstLine="560"/>
        <w:textAlignment w:val="auto"/>
        <w:rPr>
          <w:rFonts w:ascii="仿宋" w:hAnsi="仿宋" w:eastAsia="仿宋" w:cs="Times New Roman"/>
          <w:color w:val="auto"/>
          <w:kern w:val="0"/>
          <w:sz w:val="28"/>
          <w:szCs w:val="28"/>
          <w:highlight w:val="none"/>
        </w:rPr>
      </w:pPr>
    </w:p>
    <w:p w14:paraId="10C9E218">
      <w:pPr>
        <w:pageBreakBefore w:val="0"/>
        <w:kinsoku/>
        <w:wordWrap/>
        <w:overflowPunct/>
        <w:topLinePunct w:val="0"/>
        <w:autoSpaceDE/>
        <w:autoSpaceDN/>
        <w:bidi w:val="0"/>
        <w:adjustRightInd/>
        <w:snapToGrid/>
        <w:spacing w:line="520" w:lineRule="exact"/>
        <w:ind w:left="0" w:leftChars="0"/>
        <w:textAlignment w:val="auto"/>
        <w:rPr>
          <w:rFonts w:ascii="仿宋" w:hAnsi="仿宋" w:eastAsia="仿宋" w:cs="Times New Roman"/>
          <w:color w:val="auto"/>
          <w:kern w:val="0"/>
          <w:sz w:val="28"/>
          <w:szCs w:val="28"/>
          <w:highlight w:val="none"/>
        </w:rPr>
      </w:pPr>
    </w:p>
    <w:p w14:paraId="2BF36885">
      <w:pPr>
        <w:pStyle w:val="2"/>
        <w:pageBreakBefore w:val="0"/>
        <w:kinsoku/>
        <w:wordWrap/>
        <w:overflowPunct/>
        <w:topLinePunct w:val="0"/>
        <w:autoSpaceDE/>
        <w:autoSpaceDN/>
        <w:bidi w:val="0"/>
        <w:adjustRightInd/>
        <w:snapToGrid/>
        <w:spacing w:line="520" w:lineRule="exact"/>
        <w:ind w:left="0" w:leftChars="0" w:firstLine="5880" w:firstLineChars="2100"/>
        <w:textAlignment w:val="auto"/>
        <w:rPr>
          <w:rFonts w:ascii="仿宋" w:hAnsi="仿宋" w:eastAsia="仿宋" w:cs="Times New Roman"/>
          <w:color w:val="auto"/>
          <w:kern w:val="0"/>
          <w:sz w:val="28"/>
          <w:szCs w:val="28"/>
          <w:highlight w:val="none"/>
        </w:rPr>
      </w:pPr>
      <w:r>
        <w:rPr>
          <w:rFonts w:hint="eastAsia" w:ascii="仿宋" w:hAnsi="仿宋" w:eastAsia="仿宋" w:cs="Times New Roman"/>
          <w:color w:val="auto"/>
          <w:kern w:val="0"/>
          <w:sz w:val="28"/>
          <w:szCs w:val="28"/>
          <w:highlight w:val="none"/>
        </w:rPr>
        <w:t>2025年</w:t>
      </w:r>
      <w:r>
        <w:rPr>
          <w:rFonts w:hint="eastAsia" w:ascii="仿宋" w:hAnsi="仿宋" w:eastAsia="仿宋" w:cs="Times New Roman"/>
          <w:color w:val="auto"/>
          <w:kern w:val="0"/>
          <w:sz w:val="28"/>
          <w:szCs w:val="28"/>
          <w:highlight w:val="none"/>
          <w:lang w:val="en-US" w:eastAsia="zh-CN"/>
        </w:rPr>
        <w:t>12</w:t>
      </w:r>
      <w:r>
        <w:rPr>
          <w:rFonts w:hint="eastAsia" w:ascii="仿宋" w:hAnsi="仿宋" w:eastAsia="仿宋" w:cs="Times New Roman"/>
          <w:color w:val="auto"/>
          <w:kern w:val="0"/>
          <w:sz w:val="28"/>
          <w:szCs w:val="28"/>
          <w:highlight w:val="none"/>
        </w:rPr>
        <w:t>月</w:t>
      </w:r>
      <w:r>
        <w:rPr>
          <w:rFonts w:hint="eastAsia" w:ascii="仿宋" w:hAnsi="仿宋" w:eastAsia="仿宋" w:cs="Times New Roman"/>
          <w:color w:val="auto"/>
          <w:kern w:val="0"/>
          <w:sz w:val="28"/>
          <w:szCs w:val="28"/>
          <w:highlight w:val="none"/>
          <w:lang w:val="en-US" w:eastAsia="zh-CN"/>
        </w:rPr>
        <w:t>25</w:t>
      </w:r>
      <w:r>
        <w:rPr>
          <w:rFonts w:hint="eastAsia" w:ascii="仿宋" w:hAnsi="仿宋" w:eastAsia="仿宋" w:cs="Times New Roman"/>
          <w:color w:val="auto"/>
          <w:kern w:val="0"/>
          <w:sz w:val="28"/>
          <w:szCs w:val="28"/>
          <w:highlight w:val="none"/>
        </w:rPr>
        <w:t>日</w:t>
      </w:r>
    </w:p>
    <w:p w14:paraId="33FD79D4">
      <w:pPr>
        <w:rPr>
          <w:rFonts w:ascii="仿宋" w:hAnsi="仿宋" w:eastAsia="仿宋" w:cs="Times New Roman"/>
          <w:color w:val="auto"/>
          <w:kern w:val="0"/>
          <w:sz w:val="28"/>
          <w:szCs w:val="28"/>
          <w:highlight w:val="none"/>
        </w:rPr>
      </w:pPr>
    </w:p>
    <w:p w14:paraId="3785FF1A">
      <w:pPr>
        <w:rPr>
          <w:rFonts w:ascii="仿宋" w:hAnsi="仿宋" w:eastAsia="仿宋"/>
          <w:highlight w:val="none"/>
        </w:rPr>
        <w:sectPr>
          <w:footerReference r:id="rId6" w:type="default"/>
          <w:pgSz w:w="12240" w:h="15840"/>
          <w:pgMar w:top="2098" w:right="1474" w:bottom="1984" w:left="1587" w:header="720" w:footer="720" w:gutter="0"/>
          <w:pgNumType w:start="1"/>
          <w:cols w:space="720" w:num="1"/>
        </w:sectPr>
      </w:pPr>
    </w:p>
    <w:p w14:paraId="2BE8ADD4">
      <w:pPr>
        <w:pStyle w:val="4"/>
        <w:spacing w:after="0" w:line="240" w:lineRule="auto"/>
        <w:ind w:left="0" w:right="0" w:firstLine="0"/>
        <w:rPr>
          <w:rFonts w:ascii="仿宋" w:hAnsi="仿宋" w:eastAsia="仿宋" w:cs="Times New Roman"/>
          <w:color w:val="auto"/>
          <w:szCs w:val="32"/>
          <w:highlight w:val="none"/>
        </w:rPr>
      </w:pPr>
      <w:bookmarkStart w:id="24" w:name="_Toc8776"/>
      <w:bookmarkStart w:id="25" w:name="_Toc3979"/>
      <w:r>
        <w:rPr>
          <w:rFonts w:ascii="仿宋" w:hAnsi="仿宋" w:eastAsia="仿宋" w:cs="Times New Roman"/>
          <w:color w:val="auto"/>
          <w:szCs w:val="32"/>
          <w:highlight w:val="none"/>
        </w:rPr>
        <w:t xml:space="preserve">第二章 </w:t>
      </w:r>
      <w:bookmarkEnd w:id="24"/>
      <w:bookmarkEnd w:id="25"/>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参选人须知</w:t>
      </w:r>
    </w:p>
    <w:p w14:paraId="1861729D">
      <w:pPr>
        <w:rPr>
          <w:rFonts w:ascii="仿宋" w:hAnsi="仿宋" w:eastAsia="仿宋" w:cs="Times New Roman"/>
          <w:highlight w:val="none"/>
        </w:rPr>
      </w:pPr>
    </w:p>
    <w:tbl>
      <w:tblPr>
        <w:tblStyle w:val="45"/>
        <w:tblW w:w="4855" w:type="pct"/>
        <w:jc w:val="center"/>
        <w:tblLayout w:type="autofit"/>
        <w:tblCellMar>
          <w:top w:w="0" w:type="dxa"/>
          <w:left w:w="108" w:type="dxa"/>
          <w:bottom w:w="22" w:type="dxa"/>
          <w:right w:w="115" w:type="dxa"/>
        </w:tblCellMar>
      </w:tblPr>
      <w:tblGrid>
        <w:gridCol w:w="1021"/>
        <w:gridCol w:w="2108"/>
        <w:gridCol w:w="6000"/>
      </w:tblGrid>
      <w:tr w14:paraId="6008419B">
        <w:tblPrEx>
          <w:tblCellMar>
            <w:top w:w="0" w:type="dxa"/>
            <w:left w:w="108" w:type="dxa"/>
            <w:bottom w:w="22" w:type="dxa"/>
            <w:right w:w="115" w:type="dxa"/>
          </w:tblCellMar>
        </w:tblPrEx>
        <w:trPr>
          <w:trHeight w:val="540" w:hRule="atLeast"/>
          <w:tblHeade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D76A74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序</w:t>
            </w:r>
            <w:r>
              <w:rPr>
                <w:rFonts w:hint="eastAsia" w:ascii="仿宋" w:hAnsi="仿宋" w:eastAsia="仿宋" w:cs="Times New Roman"/>
                <w:color w:val="auto"/>
                <w:kern w:val="0"/>
                <w:sz w:val="24"/>
                <w:szCs w:val="24"/>
                <w:highlight w:val="none"/>
              </w:rPr>
              <w:t xml:space="preserve">  </w:t>
            </w:r>
            <w:r>
              <w:rPr>
                <w:rFonts w:ascii="仿宋" w:hAnsi="仿宋" w:eastAsia="仿宋" w:cs="Times New Roman"/>
                <w:color w:val="auto"/>
                <w:kern w:val="0"/>
                <w:sz w:val="24"/>
                <w:szCs w:val="24"/>
                <w:highlight w:val="none"/>
              </w:rPr>
              <w:t>号</w:t>
            </w:r>
          </w:p>
        </w:tc>
        <w:tc>
          <w:tcPr>
            <w:tcW w:w="1154" w:type="pct"/>
            <w:tcBorders>
              <w:top w:val="single" w:color="000000" w:sz="4" w:space="0"/>
              <w:left w:val="single" w:color="000000" w:sz="4" w:space="0"/>
              <w:bottom w:val="single" w:color="000000" w:sz="4" w:space="0"/>
              <w:right w:val="single" w:color="000000" w:sz="4" w:space="0"/>
            </w:tcBorders>
            <w:vAlign w:val="center"/>
          </w:tcPr>
          <w:p w14:paraId="7BFC6279">
            <w:pPr>
              <w:widowControl w:val="0"/>
              <w:tabs>
                <w:tab w:val="left" w:pos="1228"/>
                <w:tab w:val="center" w:pos="1807"/>
              </w:tabs>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条款名称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1C5ABCC3">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编列内容</w:t>
            </w:r>
          </w:p>
        </w:tc>
      </w:tr>
      <w:tr w14:paraId="26874B2E">
        <w:tblPrEx>
          <w:tblCellMar>
            <w:top w:w="0" w:type="dxa"/>
            <w:left w:w="108" w:type="dxa"/>
            <w:bottom w:w="22" w:type="dxa"/>
            <w:right w:w="115" w:type="dxa"/>
          </w:tblCellMar>
        </w:tblPrEx>
        <w:trPr>
          <w:trHeight w:val="1258"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7C9BD10">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p>
        </w:tc>
        <w:tc>
          <w:tcPr>
            <w:tcW w:w="1154" w:type="pct"/>
            <w:tcBorders>
              <w:top w:val="single" w:color="000000" w:sz="4" w:space="0"/>
              <w:left w:val="single" w:color="000000" w:sz="4" w:space="0"/>
              <w:bottom w:val="single" w:color="000000" w:sz="4" w:space="0"/>
              <w:right w:val="single" w:color="000000" w:sz="4" w:space="0"/>
            </w:tcBorders>
            <w:vAlign w:val="center"/>
          </w:tcPr>
          <w:p w14:paraId="5166DBE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比选人</w:t>
            </w:r>
          </w:p>
        </w:tc>
        <w:tc>
          <w:tcPr>
            <w:tcW w:w="3285" w:type="pct"/>
            <w:tcBorders>
              <w:top w:val="single" w:color="000000" w:sz="4" w:space="0"/>
              <w:left w:val="single" w:color="000000" w:sz="4" w:space="0"/>
              <w:bottom w:val="single" w:color="000000" w:sz="4" w:space="0"/>
              <w:right w:val="single" w:color="000000" w:sz="4" w:space="0"/>
            </w:tcBorders>
            <w:vAlign w:val="center"/>
          </w:tcPr>
          <w:p w14:paraId="720F765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名称：四川蜀物兴川物流发展有限公司</w:t>
            </w:r>
          </w:p>
          <w:p w14:paraId="563B3195">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地址：成都市青羊区光华北五路266号青羊总部经济基地2栋A座11楼</w:t>
            </w:r>
          </w:p>
          <w:p w14:paraId="37E9FC7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联系人：高老师，电话：18883114065</w:t>
            </w:r>
          </w:p>
        </w:tc>
      </w:tr>
      <w:tr w14:paraId="29D4A6CE">
        <w:tblPrEx>
          <w:tblCellMar>
            <w:top w:w="0" w:type="dxa"/>
            <w:left w:w="108" w:type="dxa"/>
            <w:bottom w:w="22" w:type="dxa"/>
            <w:right w:w="115" w:type="dxa"/>
          </w:tblCellMar>
        </w:tblPrEx>
        <w:trPr>
          <w:trHeight w:val="6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F5BF76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p>
        </w:tc>
        <w:tc>
          <w:tcPr>
            <w:tcW w:w="1154" w:type="pct"/>
            <w:tcBorders>
              <w:top w:val="single" w:color="000000" w:sz="4" w:space="0"/>
              <w:left w:val="single" w:color="000000" w:sz="4" w:space="0"/>
              <w:bottom w:val="single" w:color="000000" w:sz="4" w:space="0"/>
              <w:right w:val="single" w:color="000000" w:sz="4" w:space="0"/>
            </w:tcBorders>
            <w:vAlign w:val="center"/>
          </w:tcPr>
          <w:p w14:paraId="762F267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项目名称</w:t>
            </w:r>
          </w:p>
        </w:tc>
        <w:tc>
          <w:tcPr>
            <w:tcW w:w="3285" w:type="pct"/>
            <w:tcBorders>
              <w:top w:val="single" w:color="000000" w:sz="4" w:space="0"/>
              <w:left w:val="single" w:color="000000" w:sz="4" w:space="0"/>
              <w:bottom w:val="single" w:color="000000" w:sz="4" w:space="0"/>
              <w:right w:val="single" w:color="000000" w:sz="4" w:space="0"/>
            </w:tcBorders>
            <w:vAlign w:val="center"/>
          </w:tcPr>
          <w:p w14:paraId="09E4CE8D">
            <w:pPr>
              <w:widowControl w:val="0"/>
              <w:spacing w:after="0" w:line="360" w:lineRule="exact"/>
              <w:rPr>
                <w:rFonts w:ascii="仿宋" w:hAnsi="仿宋" w:eastAsia="仿宋" w:cs="仿宋_GB2312"/>
                <w:color w:val="auto"/>
                <w:kern w:val="0"/>
                <w:sz w:val="24"/>
                <w:szCs w:val="24"/>
                <w:highlight w:val="none"/>
              </w:rPr>
            </w:pPr>
            <w:bookmarkStart w:id="26" w:name="OLE_LINK1"/>
            <w:r>
              <w:rPr>
                <w:rFonts w:hint="eastAsia" w:ascii="仿宋" w:hAnsi="仿宋" w:eastAsia="仿宋" w:cs="仿宋_GB2312"/>
                <w:color w:val="auto"/>
                <w:kern w:val="0"/>
                <w:sz w:val="24"/>
                <w:szCs w:val="24"/>
                <w:highlight w:val="none"/>
              </w:rPr>
              <w:t>关于与江苏某2家国有企业买卖合同纠纷法律服务项目</w:t>
            </w:r>
            <w:bookmarkEnd w:id="26"/>
          </w:p>
        </w:tc>
      </w:tr>
      <w:tr w14:paraId="76D5F0A5">
        <w:tblPrEx>
          <w:tblCellMar>
            <w:top w:w="0" w:type="dxa"/>
            <w:left w:w="108" w:type="dxa"/>
            <w:bottom w:w="22" w:type="dxa"/>
            <w:right w:w="115" w:type="dxa"/>
          </w:tblCellMar>
        </w:tblPrEx>
        <w:trPr>
          <w:trHeight w:val="40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E0FED6C">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3</w:t>
            </w:r>
          </w:p>
        </w:tc>
        <w:tc>
          <w:tcPr>
            <w:tcW w:w="1154" w:type="pct"/>
            <w:tcBorders>
              <w:top w:val="single" w:color="000000" w:sz="4" w:space="0"/>
              <w:left w:val="single" w:color="000000" w:sz="4" w:space="0"/>
              <w:bottom w:val="single" w:color="000000" w:sz="4" w:space="0"/>
              <w:right w:val="single" w:color="000000" w:sz="4" w:space="0"/>
            </w:tcBorders>
            <w:vAlign w:val="center"/>
          </w:tcPr>
          <w:p w14:paraId="2414381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管辖地点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36B91E8E">
            <w:pPr>
              <w:widowControl w:val="0"/>
              <w:spacing w:after="0" w:line="360" w:lineRule="exact"/>
              <w:rPr>
                <w:rFonts w:hint="default" w:ascii="仿宋" w:hAnsi="仿宋" w:eastAsia="仿宋" w:cs="仿宋_GB2312"/>
                <w:sz w:val="24"/>
                <w:szCs w:val="24"/>
                <w:highlight w:val="none"/>
                <w:lang w:val="en-US" w:eastAsia="zh-CN"/>
              </w:rPr>
            </w:pPr>
            <w:r>
              <w:rPr>
                <w:rFonts w:hint="eastAsia" w:ascii="仿宋" w:hAnsi="仿宋" w:eastAsia="仿宋" w:cs="仿宋_GB2312"/>
                <w:sz w:val="24"/>
                <w:szCs w:val="24"/>
                <w:highlight w:val="none"/>
                <w:lang w:val="en-US" w:eastAsia="zh-CN"/>
              </w:rPr>
              <w:t>四川省成都</w:t>
            </w:r>
            <w:r>
              <w:rPr>
                <w:rFonts w:hint="default" w:ascii="仿宋" w:hAnsi="仿宋" w:eastAsia="仿宋" w:cs="仿宋_GB2312"/>
                <w:sz w:val="24"/>
                <w:szCs w:val="24"/>
                <w:highlight w:val="none"/>
                <w:lang w:val="en-US" w:eastAsia="zh-CN"/>
              </w:rPr>
              <w:t>市</w:t>
            </w:r>
          </w:p>
        </w:tc>
      </w:tr>
      <w:tr w14:paraId="3BBF22F0">
        <w:tblPrEx>
          <w:tblCellMar>
            <w:top w:w="0" w:type="dxa"/>
            <w:left w:w="108" w:type="dxa"/>
            <w:bottom w:w="22" w:type="dxa"/>
            <w:right w:w="115" w:type="dxa"/>
          </w:tblCellMar>
        </w:tblPrEx>
        <w:trPr>
          <w:trHeight w:val="753"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87DD997">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p>
        </w:tc>
        <w:tc>
          <w:tcPr>
            <w:tcW w:w="1154" w:type="pct"/>
            <w:tcBorders>
              <w:top w:val="single" w:color="000000" w:sz="4" w:space="0"/>
              <w:left w:val="single" w:color="000000" w:sz="4" w:space="0"/>
              <w:bottom w:val="single" w:color="000000" w:sz="4" w:space="0"/>
              <w:right w:val="single" w:color="000000" w:sz="4" w:space="0"/>
            </w:tcBorders>
            <w:vAlign w:val="center"/>
          </w:tcPr>
          <w:p w14:paraId="5F111BB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项目概况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2E604B1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案由：买卖合同纠纷;</w:t>
            </w:r>
          </w:p>
          <w:p w14:paraId="3F2D798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被告：某</w:t>
            </w:r>
            <w:r>
              <w:rPr>
                <w:rFonts w:hint="eastAsia" w:ascii="仿宋" w:hAnsi="仿宋" w:eastAsia="仿宋" w:cs="仿宋_GB2312"/>
                <w:color w:val="auto"/>
                <w:kern w:val="0"/>
                <w:sz w:val="24"/>
                <w:szCs w:val="24"/>
                <w:highlight w:val="none"/>
                <w:lang w:val="en-US" w:eastAsia="zh-CN"/>
              </w:rPr>
              <w:t>2家</w:t>
            </w:r>
            <w:r>
              <w:rPr>
                <w:rFonts w:hint="eastAsia" w:ascii="仿宋" w:hAnsi="仿宋" w:eastAsia="仿宋" w:cs="仿宋_GB2312"/>
                <w:color w:val="auto"/>
                <w:kern w:val="0"/>
                <w:sz w:val="24"/>
                <w:szCs w:val="24"/>
                <w:highlight w:val="none"/>
              </w:rPr>
              <w:t>国有企业;</w:t>
            </w:r>
          </w:p>
          <w:p w14:paraId="4E9B6D5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标的：合计约5900万元（涉诉金额可能变化，以实际为准）</w:t>
            </w:r>
          </w:p>
        </w:tc>
      </w:tr>
      <w:tr w14:paraId="0A371BAE">
        <w:tblPrEx>
          <w:tblCellMar>
            <w:top w:w="0" w:type="dxa"/>
            <w:left w:w="108" w:type="dxa"/>
            <w:bottom w:w="22" w:type="dxa"/>
            <w:right w:w="115" w:type="dxa"/>
          </w:tblCellMar>
        </w:tblPrEx>
        <w:trPr>
          <w:trHeight w:val="351"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EAC13BA">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5</w:t>
            </w:r>
          </w:p>
        </w:tc>
        <w:tc>
          <w:tcPr>
            <w:tcW w:w="1154" w:type="pct"/>
            <w:tcBorders>
              <w:top w:val="single" w:color="000000" w:sz="4" w:space="0"/>
              <w:left w:val="single" w:color="000000" w:sz="4" w:space="0"/>
              <w:bottom w:val="single" w:color="000000" w:sz="4" w:space="0"/>
              <w:right w:val="single" w:color="000000" w:sz="4" w:space="0"/>
            </w:tcBorders>
            <w:vAlign w:val="center"/>
          </w:tcPr>
          <w:p w14:paraId="1A7D857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资金来源及比例</w:t>
            </w:r>
          </w:p>
        </w:tc>
        <w:tc>
          <w:tcPr>
            <w:tcW w:w="3285" w:type="pct"/>
            <w:tcBorders>
              <w:top w:val="single" w:color="000000" w:sz="4" w:space="0"/>
              <w:left w:val="single" w:color="000000" w:sz="4" w:space="0"/>
              <w:bottom w:val="single" w:color="000000" w:sz="4" w:space="0"/>
              <w:right w:val="single" w:color="000000" w:sz="4" w:space="0"/>
            </w:tcBorders>
            <w:vAlign w:val="center"/>
          </w:tcPr>
          <w:p w14:paraId="5C74DC5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业主自筹100%</w:t>
            </w:r>
          </w:p>
        </w:tc>
      </w:tr>
      <w:tr w14:paraId="41CEAAC4">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F2D9CA7">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6</w:t>
            </w:r>
          </w:p>
        </w:tc>
        <w:tc>
          <w:tcPr>
            <w:tcW w:w="1154" w:type="pct"/>
            <w:tcBorders>
              <w:top w:val="single" w:color="000000" w:sz="4" w:space="0"/>
              <w:left w:val="single" w:color="000000" w:sz="4" w:space="0"/>
              <w:bottom w:val="single" w:color="000000" w:sz="4" w:space="0"/>
              <w:right w:val="single" w:color="000000" w:sz="4" w:space="0"/>
            </w:tcBorders>
            <w:vAlign w:val="center"/>
          </w:tcPr>
          <w:p w14:paraId="13DFA69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资金落实情况</w:t>
            </w:r>
          </w:p>
        </w:tc>
        <w:tc>
          <w:tcPr>
            <w:tcW w:w="3285" w:type="pct"/>
            <w:tcBorders>
              <w:top w:val="single" w:color="000000" w:sz="4" w:space="0"/>
              <w:left w:val="single" w:color="000000" w:sz="4" w:space="0"/>
              <w:bottom w:val="single" w:color="000000" w:sz="4" w:space="0"/>
              <w:right w:val="single" w:color="000000" w:sz="4" w:space="0"/>
            </w:tcBorders>
            <w:vAlign w:val="center"/>
          </w:tcPr>
          <w:p w14:paraId="06067BF9">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已落实</w:t>
            </w:r>
          </w:p>
        </w:tc>
      </w:tr>
      <w:tr w14:paraId="6EF6D999">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079FA9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7</w:t>
            </w:r>
          </w:p>
        </w:tc>
        <w:tc>
          <w:tcPr>
            <w:tcW w:w="1154" w:type="pct"/>
            <w:tcBorders>
              <w:top w:val="single" w:color="000000" w:sz="4" w:space="0"/>
              <w:left w:val="single" w:color="000000" w:sz="4" w:space="0"/>
              <w:bottom w:val="single" w:color="000000" w:sz="4" w:space="0"/>
              <w:right w:val="single" w:color="000000" w:sz="4" w:space="0"/>
            </w:tcBorders>
            <w:vAlign w:val="center"/>
          </w:tcPr>
          <w:p w14:paraId="528F677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服务内容</w:t>
            </w:r>
          </w:p>
        </w:tc>
        <w:tc>
          <w:tcPr>
            <w:tcW w:w="3285" w:type="pct"/>
            <w:tcBorders>
              <w:top w:val="single" w:color="000000" w:sz="4" w:space="0"/>
              <w:left w:val="single" w:color="000000" w:sz="4" w:space="0"/>
              <w:bottom w:val="single" w:color="000000" w:sz="4" w:space="0"/>
              <w:right w:val="single" w:color="000000" w:sz="4" w:space="0"/>
            </w:tcBorders>
            <w:vAlign w:val="center"/>
          </w:tcPr>
          <w:p w14:paraId="62804C2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详见比选公告</w:t>
            </w:r>
          </w:p>
        </w:tc>
      </w:tr>
      <w:tr w14:paraId="6CD286A8">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F06A37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8</w:t>
            </w:r>
          </w:p>
        </w:tc>
        <w:tc>
          <w:tcPr>
            <w:tcW w:w="1154" w:type="pct"/>
            <w:tcBorders>
              <w:top w:val="single" w:color="000000" w:sz="4" w:space="0"/>
              <w:left w:val="single" w:color="000000" w:sz="4" w:space="0"/>
              <w:bottom w:val="single" w:color="000000" w:sz="4" w:space="0"/>
              <w:right w:val="single" w:color="000000" w:sz="4" w:space="0"/>
            </w:tcBorders>
            <w:vAlign w:val="center"/>
          </w:tcPr>
          <w:p w14:paraId="0CB9E0D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服务期限</w:t>
            </w:r>
          </w:p>
        </w:tc>
        <w:tc>
          <w:tcPr>
            <w:tcW w:w="3285" w:type="pct"/>
            <w:tcBorders>
              <w:top w:val="single" w:color="000000" w:sz="4" w:space="0"/>
              <w:left w:val="single" w:color="000000" w:sz="4" w:space="0"/>
              <w:bottom w:val="single" w:color="000000" w:sz="4" w:space="0"/>
              <w:right w:val="single" w:color="000000" w:sz="4" w:space="0"/>
            </w:tcBorders>
            <w:vAlign w:val="center"/>
          </w:tcPr>
          <w:p w14:paraId="51F2DB4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自代理合同签订之日起至甲方债权全部实现为止。</w:t>
            </w:r>
          </w:p>
        </w:tc>
      </w:tr>
      <w:tr w14:paraId="2C969531">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384DBC2">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9</w:t>
            </w:r>
          </w:p>
        </w:tc>
        <w:tc>
          <w:tcPr>
            <w:tcW w:w="1154" w:type="pct"/>
            <w:tcBorders>
              <w:top w:val="single" w:color="000000" w:sz="4" w:space="0"/>
              <w:left w:val="single" w:color="000000" w:sz="4" w:space="0"/>
              <w:bottom w:val="single" w:color="000000" w:sz="4" w:space="0"/>
              <w:right w:val="single" w:color="000000" w:sz="4" w:space="0"/>
            </w:tcBorders>
            <w:vAlign w:val="center"/>
          </w:tcPr>
          <w:p w14:paraId="7AEF7D8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质量标准</w:t>
            </w:r>
          </w:p>
        </w:tc>
        <w:tc>
          <w:tcPr>
            <w:tcW w:w="3285" w:type="pct"/>
            <w:tcBorders>
              <w:top w:val="single" w:color="000000" w:sz="4" w:space="0"/>
              <w:left w:val="single" w:color="000000" w:sz="4" w:space="0"/>
              <w:bottom w:val="single" w:color="000000" w:sz="4" w:space="0"/>
              <w:right w:val="single" w:color="000000" w:sz="4" w:space="0"/>
            </w:tcBorders>
            <w:vAlign w:val="center"/>
          </w:tcPr>
          <w:p w14:paraId="50B0E03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满足行业标准及比选人要求</w:t>
            </w:r>
          </w:p>
        </w:tc>
      </w:tr>
      <w:tr w14:paraId="5207303E">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7E65244">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10</w:t>
            </w:r>
          </w:p>
        </w:tc>
        <w:tc>
          <w:tcPr>
            <w:tcW w:w="1154" w:type="pct"/>
            <w:tcBorders>
              <w:top w:val="single" w:color="000000" w:sz="4" w:space="0"/>
              <w:left w:val="single" w:color="000000" w:sz="4" w:space="0"/>
              <w:bottom w:val="single" w:color="000000" w:sz="4" w:space="0"/>
              <w:right w:val="single" w:color="000000" w:sz="4" w:space="0"/>
            </w:tcBorders>
            <w:vAlign w:val="center"/>
          </w:tcPr>
          <w:p w14:paraId="49EECFE5">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参选人资格要求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69AA722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（1）具有司法行政主管部门颁发的《律师事务所执业许可证》，合法存续且年度年检合格。</w:t>
            </w:r>
          </w:p>
          <w:p w14:paraId="4AEB67C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（2）参选人须具有良好的商业信誉，在“信用中国”网站上查询无严重违法失信、经营异常，参加本次比选活动前三年内，在经营活动中没有重大违法记录。</w:t>
            </w:r>
          </w:p>
          <w:p w14:paraId="43F98DBE">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（3）律所及团队成员无刑事犯罪记录，近3年内未受过纪律处分、行政处罚或行业处分</w:t>
            </w:r>
          </w:p>
          <w:p w14:paraId="57BF984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（4）参选人须具有与本比选项目相应的法律服务能力，参选人需指派三名熟悉买卖合同纠纷案件的专职律师承办本案，其中项目负责人律师执业年限在3（含）以上。</w:t>
            </w:r>
          </w:p>
          <w:p w14:paraId="6C42997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（5）本次比选不接受联合体参选。 </w:t>
            </w:r>
          </w:p>
        </w:tc>
      </w:tr>
      <w:tr w14:paraId="77BD2AAB">
        <w:tblPrEx>
          <w:tblCellMar>
            <w:top w:w="0" w:type="dxa"/>
            <w:left w:w="108" w:type="dxa"/>
            <w:bottom w:w="22" w:type="dxa"/>
            <w:right w:w="115"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8D2A0A6">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11</w:t>
            </w:r>
          </w:p>
        </w:tc>
        <w:tc>
          <w:tcPr>
            <w:tcW w:w="1154" w:type="pct"/>
            <w:tcBorders>
              <w:top w:val="single" w:color="000000" w:sz="4" w:space="0"/>
              <w:left w:val="single" w:color="000000" w:sz="4" w:space="0"/>
              <w:bottom w:val="single" w:color="000000" w:sz="4" w:space="0"/>
              <w:right w:val="single" w:color="000000" w:sz="4" w:space="0"/>
            </w:tcBorders>
            <w:vAlign w:val="center"/>
          </w:tcPr>
          <w:p w14:paraId="4369F03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联合体参选</w:t>
            </w:r>
          </w:p>
        </w:tc>
        <w:tc>
          <w:tcPr>
            <w:tcW w:w="3285" w:type="pct"/>
            <w:tcBorders>
              <w:top w:val="single" w:color="000000" w:sz="4" w:space="0"/>
              <w:left w:val="single" w:color="000000" w:sz="4" w:space="0"/>
              <w:bottom w:val="single" w:color="000000" w:sz="4" w:space="0"/>
              <w:right w:val="single" w:color="000000" w:sz="4" w:space="0"/>
            </w:tcBorders>
            <w:vAlign w:val="center"/>
          </w:tcPr>
          <w:p w14:paraId="523288F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不接受</w:t>
            </w:r>
          </w:p>
        </w:tc>
      </w:tr>
      <w:tr w14:paraId="56D03D50">
        <w:tblPrEx>
          <w:tblCellMar>
            <w:top w:w="141" w:type="dxa"/>
            <w:left w:w="108" w:type="dxa"/>
            <w:bottom w:w="44" w:type="dxa"/>
            <w:right w:w="118" w:type="dxa"/>
          </w:tblCellMar>
        </w:tblPrEx>
        <w:trPr>
          <w:trHeight w:val="449"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F1AD224">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12</w:t>
            </w:r>
          </w:p>
        </w:tc>
        <w:tc>
          <w:tcPr>
            <w:tcW w:w="1154" w:type="pct"/>
            <w:tcBorders>
              <w:top w:val="single" w:color="000000" w:sz="4" w:space="0"/>
              <w:left w:val="single" w:color="000000" w:sz="4" w:space="0"/>
              <w:bottom w:val="single" w:color="000000" w:sz="4" w:space="0"/>
              <w:right w:val="single" w:color="000000" w:sz="4" w:space="0"/>
            </w:tcBorders>
            <w:vAlign w:val="center"/>
          </w:tcPr>
          <w:p w14:paraId="32FC77D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参选报价的要求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1A8E0E8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参选报价不得超过最高限价。</w:t>
            </w:r>
          </w:p>
        </w:tc>
      </w:tr>
      <w:tr w14:paraId="1D5733FB">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DCD11F6">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13</w:t>
            </w:r>
          </w:p>
        </w:tc>
        <w:tc>
          <w:tcPr>
            <w:tcW w:w="1154" w:type="pct"/>
            <w:tcBorders>
              <w:top w:val="single" w:color="000000" w:sz="4" w:space="0"/>
              <w:left w:val="single" w:color="000000" w:sz="4" w:space="0"/>
              <w:bottom w:val="single" w:color="000000" w:sz="4" w:space="0"/>
              <w:right w:val="single" w:color="000000" w:sz="4" w:space="0"/>
            </w:tcBorders>
            <w:vAlign w:val="center"/>
          </w:tcPr>
          <w:p w14:paraId="0F36D36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p>
        </w:tc>
        <w:tc>
          <w:tcPr>
            <w:tcW w:w="3285" w:type="pct"/>
            <w:tcBorders>
              <w:top w:val="single" w:color="000000" w:sz="4" w:space="0"/>
              <w:left w:val="single" w:color="000000" w:sz="4" w:space="0"/>
              <w:bottom w:val="single" w:color="000000" w:sz="4" w:space="0"/>
              <w:right w:val="single" w:color="000000" w:sz="4" w:space="0"/>
            </w:tcBorders>
            <w:vAlign w:val="center"/>
          </w:tcPr>
          <w:p w14:paraId="4559B3E5">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最高参选限价：</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lang w:val="en-US" w:eastAsia="zh-CN"/>
              </w:rPr>
              <w:t>12.00</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kern w:val="0"/>
                <w:sz w:val="24"/>
                <w:szCs w:val="24"/>
                <w:highlight w:val="none"/>
              </w:rPr>
              <w:t>万元;</w:t>
            </w:r>
          </w:p>
        </w:tc>
      </w:tr>
      <w:tr w14:paraId="5AFB3ED2">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571EB37">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14</w:t>
            </w:r>
          </w:p>
        </w:tc>
        <w:tc>
          <w:tcPr>
            <w:tcW w:w="1154" w:type="pct"/>
            <w:tcBorders>
              <w:top w:val="single" w:color="000000" w:sz="4" w:space="0"/>
              <w:left w:val="single" w:color="000000" w:sz="4" w:space="0"/>
              <w:bottom w:val="single" w:color="000000" w:sz="4" w:space="0"/>
              <w:right w:val="single" w:color="000000" w:sz="4" w:space="0"/>
            </w:tcBorders>
            <w:vAlign w:val="center"/>
          </w:tcPr>
          <w:p w14:paraId="6E597E4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参选有效期</w:t>
            </w:r>
          </w:p>
        </w:tc>
        <w:tc>
          <w:tcPr>
            <w:tcW w:w="3285" w:type="pct"/>
            <w:tcBorders>
              <w:top w:val="single" w:color="000000" w:sz="4" w:space="0"/>
              <w:left w:val="single" w:color="000000" w:sz="4" w:space="0"/>
              <w:bottom w:val="single" w:color="000000" w:sz="4" w:space="0"/>
              <w:right w:val="single" w:color="000000" w:sz="4" w:space="0"/>
            </w:tcBorders>
            <w:vAlign w:val="center"/>
          </w:tcPr>
          <w:p w14:paraId="7A4F9B0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报价截止之日起90天。</w:t>
            </w:r>
          </w:p>
        </w:tc>
      </w:tr>
      <w:tr w14:paraId="4D9BA267">
        <w:tblPrEx>
          <w:tblCellMar>
            <w:top w:w="141" w:type="dxa"/>
            <w:left w:w="108" w:type="dxa"/>
            <w:bottom w:w="44" w:type="dxa"/>
            <w:right w:w="118" w:type="dxa"/>
          </w:tblCellMar>
        </w:tblPrEx>
        <w:trPr>
          <w:trHeight w:val="90"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3A5F20D">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15</w:t>
            </w:r>
          </w:p>
        </w:tc>
        <w:tc>
          <w:tcPr>
            <w:tcW w:w="1154" w:type="pct"/>
            <w:tcBorders>
              <w:top w:val="single" w:color="000000" w:sz="4" w:space="0"/>
              <w:left w:val="single" w:color="000000" w:sz="4" w:space="0"/>
              <w:bottom w:val="single" w:color="000000" w:sz="4" w:space="0"/>
              <w:right w:val="single" w:color="000000" w:sz="4" w:space="0"/>
            </w:tcBorders>
            <w:vAlign w:val="center"/>
          </w:tcPr>
          <w:p w14:paraId="4043CEE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0465B9F5">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r w14:paraId="27BB1F3B">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6B21E4F">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16</w:t>
            </w:r>
          </w:p>
        </w:tc>
        <w:tc>
          <w:tcPr>
            <w:tcW w:w="1154" w:type="pct"/>
            <w:tcBorders>
              <w:top w:val="single" w:color="000000" w:sz="4" w:space="0"/>
              <w:left w:val="single" w:color="000000" w:sz="4" w:space="0"/>
              <w:bottom w:val="single" w:color="000000" w:sz="4" w:space="0"/>
              <w:right w:val="single" w:color="000000" w:sz="4" w:space="0"/>
            </w:tcBorders>
            <w:vAlign w:val="center"/>
          </w:tcPr>
          <w:p w14:paraId="5A41B52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w:t>
            </w:r>
          </w:p>
          <w:p w14:paraId="25D0A8E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密封要求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50ECCE82">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比选响应文件包装应在其封套的封口处加贴封条，并在封套的封口处加盖参选人单位章（鲜章）。</w:t>
            </w:r>
          </w:p>
        </w:tc>
      </w:tr>
      <w:tr w14:paraId="55AA698F">
        <w:tblPrEx>
          <w:tblCellMar>
            <w:top w:w="141" w:type="dxa"/>
            <w:left w:w="108" w:type="dxa"/>
            <w:bottom w:w="44" w:type="dxa"/>
            <w:right w:w="118"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0A9D148">
            <w:pPr>
              <w:widowControl w:val="0"/>
              <w:spacing w:after="0" w:line="560" w:lineRule="exact"/>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17</w:t>
            </w:r>
          </w:p>
        </w:tc>
        <w:tc>
          <w:tcPr>
            <w:tcW w:w="1154" w:type="pct"/>
            <w:tcBorders>
              <w:top w:val="single" w:color="000000" w:sz="4" w:space="0"/>
              <w:left w:val="single" w:color="000000" w:sz="4" w:space="0"/>
              <w:bottom w:val="single" w:color="000000" w:sz="4" w:space="0"/>
              <w:right w:val="single" w:color="000000" w:sz="4" w:space="0"/>
            </w:tcBorders>
            <w:vAlign w:val="center"/>
          </w:tcPr>
          <w:p w14:paraId="1DCE8F8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封套上应载明的</w:t>
            </w:r>
          </w:p>
          <w:p w14:paraId="1863DAE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信息</w:t>
            </w:r>
          </w:p>
        </w:tc>
        <w:tc>
          <w:tcPr>
            <w:tcW w:w="3285" w:type="pct"/>
            <w:tcBorders>
              <w:top w:val="single" w:color="000000" w:sz="4" w:space="0"/>
              <w:left w:val="single" w:color="000000" w:sz="4" w:space="0"/>
              <w:bottom w:val="single" w:color="000000" w:sz="4" w:space="0"/>
              <w:right w:val="single" w:color="000000" w:sz="4" w:space="0"/>
            </w:tcBorders>
            <w:vAlign w:val="center"/>
          </w:tcPr>
          <w:p w14:paraId="7B2A0352">
            <w:pPr>
              <w:widowControl w:val="0"/>
              <w:spacing w:after="0" w:line="360" w:lineRule="exact"/>
              <w:rPr>
                <w:rFonts w:hint="eastAsia" w:ascii="仿宋" w:hAnsi="仿宋" w:eastAsia="仿宋" w:cs="仿宋_GB2312"/>
                <w:color w:val="auto"/>
                <w:sz w:val="24"/>
                <w:szCs w:val="24"/>
                <w:highlight w:val="none"/>
                <w:lang w:eastAsia="zh-CN"/>
              </w:rPr>
            </w:pPr>
            <w:r>
              <w:rPr>
                <w:rFonts w:hint="eastAsia" w:ascii="仿宋" w:hAnsi="仿宋" w:eastAsia="仿宋" w:cs="仿宋_GB2312"/>
                <w:color w:val="auto"/>
                <w:kern w:val="0"/>
                <w:sz w:val="24"/>
                <w:szCs w:val="24"/>
                <w:highlight w:val="none"/>
              </w:rPr>
              <w:t>项目名称</w:t>
            </w:r>
            <w:r>
              <w:rPr>
                <w:rFonts w:hint="eastAsia" w:ascii="仿宋" w:hAnsi="仿宋" w:eastAsia="仿宋" w:cs="仿宋_GB2312"/>
                <w:color w:val="auto"/>
                <w:kern w:val="0"/>
                <w:sz w:val="24"/>
                <w:szCs w:val="24"/>
                <w:highlight w:val="none"/>
                <w:lang w:eastAsia="zh-CN"/>
              </w:rPr>
              <w:t>：</w:t>
            </w:r>
            <w:r>
              <w:rPr>
                <w:rFonts w:hint="eastAsia" w:ascii="仿宋" w:hAnsi="仿宋" w:eastAsia="仿宋" w:cs="仿宋_GB2312"/>
                <w:color w:val="auto"/>
                <w:sz w:val="24"/>
                <w:szCs w:val="24"/>
                <w:highlight w:val="none"/>
              </w:rPr>
              <w:t>四川蜀物兴川物流发展有限公司</w:t>
            </w:r>
            <w:r>
              <w:rPr>
                <w:rFonts w:hint="eastAsia" w:ascii="仿宋" w:hAnsi="仿宋" w:eastAsia="仿宋" w:cs="仿宋_GB2312"/>
                <w:color w:val="auto"/>
                <w:kern w:val="0"/>
                <w:sz w:val="24"/>
                <w:szCs w:val="24"/>
                <w:highlight w:val="none"/>
              </w:rPr>
              <w:t>关于与江苏某2家国有企业买卖合同纠纷法律服务项目</w:t>
            </w:r>
          </w:p>
          <w:p w14:paraId="151E7481">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 xml:space="preserve">比选响应文件 </w:t>
            </w:r>
          </w:p>
          <w:p w14:paraId="4C683AF3">
            <w:pPr>
              <w:widowControl w:val="0"/>
              <w:spacing w:after="0" w:line="360" w:lineRule="exact"/>
              <w:rPr>
                <w:rFonts w:hint="eastAsia"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参选人名称：</w:t>
            </w:r>
          </w:p>
          <w:p w14:paraId="48CF6EFD">
            <w:pPr>
              <w:pStyle w:val="14"/>
              <w:ind w:left="0" w:leftChars="0" w:firstLine="0" w:firstLineChars="0"/>
              <w:rPr>
                <w:rFonts w:hint="eastAsia" w:ascii="仿宋" w:hAnsi="仿宋" w:eastAsia="仿宋" w:cs="仿宋_GB2312"/>
                <w:color w:val="auto"/>
                <w:kern w:val="0"/>
                <w:sz w:val="24"/>
                <w:szCs w:val="24"/>
                <w:highlight w:val="none"/>
                <w:lang w:val="en-US" w:eastAsia="zh-CN"/>
              </w:rPr>
            </w:pPr>
            <w:r>
              <w:rPr>
                <w:rFonts w:hint="eastAsia" w:ascii="仿宋" w:hAnsi="仿宋" w:eastAsia="仿宋" w:cs="仿宋_GB2312"/>
                <w:color w:val="auto"/>
                <w:kern w:val="0"/>
                <w:sz w:val="24"/>
                <w:szCs w:val="24"/>
                <w:highlight w:val="none"/>
                <w:lang w:val="en-US" w:eastAsia="zh-CN"/>
              </w:rPr>
              <w:t>单位负责人或其委托代理人：</w:t>
            </w:r>
          </w:p>
          <w:p w14:paraId="2D40CF4D">
            <w:pPr>
              <w:pStyle w:val="14"/>
              <w:ind w:left="0" w:leftChars="0" w:firstLine="0" w:firstLineChars="0"/>
              <w:rPr>
                <w:rFonts w:hint="eastAsia" w:eastAsia="仿宋"/>
                <w:highlight w:val="none"/>
                <w:lang w:val="en-US" w:eastAsia="zh-CN"/>
              </w:rPr>
            </w:pPr>
            <w:r>
              <w:rPr>
                <w:rFonts w:hint="eastAsia" w:ascii="仿宋" w:hAnsi="仿宋" w:eastAsia="仿宋" w:cs="仿宋_GB2312"/>
                <w:color w:val="auto"/>
                <w:kern w:val="0"/>
                <w:sz w:val="24"/>
                <w:szCs w:val="24"/>
                <w:highlight w:val="none"/>
                <w:lang w:val="en-US" w:eastAsia="zh-CN"/>
              </w:rPr>
              <w:t>日期：</w:t>
            </w:r>
          </w:p>
        </w:tc>
      </w:tr>
      <w:tr w14:paraId="7CBFBAB5">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5A07D0D">
            <w:pPr>
              <w:widowControl w:val="0"/>
              <w:spacing w:after="0" w:line="560" w:lineRule="exact"/>
              <w:jc w:val="center"/>
              <w:rPr>
                <w:rFonts w:ascii="仿宋" w:hAnsi="仿宋" w:eastAsia="仿宋"/>
                <w:highlight w:val="none"/>
              </w:rPr>
            </w:pPr>
            <w:r>
              <w:rPr>
                <w:rFonts w:hint="eastAsia" w:ascii="仿宋" w:hAnsi="仿宋" w:eastAsia="仿宋" w:cs="Times New Roman"/>
                <w:color w:val="auto"/>
                <w:kern w:val="0"/>
                <w:sz w:val="24"/>
                <w:szCs w:val="24"/>
                <w:highlight w:val="none"/>
              </w:rPr>
              <w:t>18</w:t>
            </w:r>
          </w:p>
        </w:tc>
        <w:tc>
          <w:tcPr>
            <w:tcW w:w="1154" w:type="pct"/>
            <w:tcBorders>
              <w:top w:val="single" w:color="000000" w:sz="4" w:space="0"/>
              <w:left w:val="single" w:color="000000" w:sz="4" w:space="0"/>
              <w:bottom w:val="single" w:color="000000" w:sz="4" w:space="0"/>
              <w:right w:val="single" w:color="000000" w:sz="4" w:space="0"/>
            </w:tcBorders>
            <w:vAlign w:val="center"/>
          </w:tcPr>
          <w:p w14:paraId="78EA16FD">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比选响应文件份数及其他要求</w:t>
            </w:r>
          </w:p>
        </w:tc>
        <w:tc>
          <w:tcPr>
            <w:tcW w:w="3285" w:type="pct"/>
            <w:tcBorders>
              <w:top w:val="single" w:color="000000" w:sz="4" w:space="0"/>
              <w:left w:val="single" w:color="000000" w:sz="4" w:space="0"/>
              <w:bottom w:val="single" w:color="000000" w:sz="4" w:space="0"/>
              <w:right w:val="single" w:color="000000" w:sz="4" w:space="0"/>
            </w:tcBorders>
            <w:vAlign w:val="center"/>
          </w:tcPr>
          <w:p w14:paraId="4780DBC0">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参选文件份数：一正一副</w:t>
            </w:r>
          </w:p>
          <w:p w14:paraId="357B278C">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是否要求提交电子版文件：否</w:t>
            </w:r>
          </w:p>
          <w:p w14:paraId="50A8F4AF">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其他要求：比选响应文件的正本和副本一律用A4复印纸装订。比选响应文件的正本和副本应采用胶装方式左侧装订成册，页码连续，不得采用活页夹等可随时拆换的方式装订，不得有零散页。比选响应文件应编制目录。</w:t>
            </w:r>
          </w:p>
        </w:tc>
      </w:tr>
      <w:tr w14:paraId="5189B679">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26AA97D">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19</w:t>
            </w:r>
          </w:p>
        </w:tc>
        <w:tc>
          <w:tcPr>
            <w:tcW w:w="1154" w:type="pct"/>
            <w:tcBorders>
              <w:top w:val="single" w:color="000000" w:sz="4" w:space="0"/>
              <w:left w:val="single" w:color="000000" w:sz="4" w:space="0"/>
              <w:bottom w:val="single" w:color="000000" w:sz="4" w:space="0"/>
              <w:right w:val="single" w:color="000000" w:sz="4" w:space="0"/>
            </w:tcBorders>
            <w:vAlign w:val="center"/>
          </w:tcPr>
          <w:p w14:paraId="30F5044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比选截止时间</w:t>
            </w:r>
          </w:p>
        </w:tc>
        <w:tc>
          <w:tcPr>
            <w:tcW w:w="3285" w:type="pct"/>
            <w:tcBorders>
              <w:top w:val="single" w:color="000000" w:sz="4" w:space="0"/>
              <w:left w:val="single" w:color="000000" w:sz="4" w:space="0"/>
              <w:bottom w:val="single" w:color="000000" w:sz="4" w:space="0"/>
              <w:right w:val="single" w:color="000000" w:sz="4" w:space="0"/>
            </w:tcBorders>
            <w:vAlign w:val="center"/>
          </w:tcPr>
          <w:p w14:paraId="42B26998">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见比选公告</w:t>
            </w:r>
          </w:p>
        </w:tc>
      </w:tr>
      <w:tr w14:paraId="6F300D31">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B2A1A06">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20</w:t>
            </w:r>
          </w:p>
        </w:tc>
        <w:tc>
          <w:tcPr>
            <w:tcW w:w="1154" w:type="pct"/>
            <w:tcBorders>
              <w:top w:val="single" w:color="000000" w:sz="4" w:space="0"/>
              <w:left w:val="single" w:color="000000" w:sz="4" w:space="0"/>
              <w:bottom w:val="single" w:color="000000" w:sz="4" w:space="0"/>
              <w:right w:val="single" w:color="000000" w:sz="4" w:space="0"/>
            </w:tcBorders>
            <w:vAlign w:val="center"/>
          </w:tcPr>
          <w:p w14:paraId="09351866">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递交比选响应文件地点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54F5A7B7">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成都市青羊区光华北五路266号青羊总部经济基地2栋A座11楼</w:t>
            </w:r>
          </w:p>
        </w:tc>
      </w:tr>
      <w:tr w14:paraId="558945E9">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176F85B">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21</w:t>
            </w:r>
          </w:p>
        </w:tc>
        <w:tc>
          <w:tcPr>
            <w:tcW w:w="1154" w:type="pct"/>
            <w:tcBorders>
              <w:top w:val="single" w:color="000000" w:sz="4" w:space="0"/>
              <w:left w:val="single" w:color="000000" w:sz="4" w:space="0"/>
              <w:bottom w:val="single" w:color="000000" w:sz="4" w:space="0"/>
              <w:right w:val="single" w:color="000000" w:sz="4" w:space="0"/>
            </w:tcBorders>
            <w:vAlign w:val="center"/>
          </w:tcPr>
          <w:p w14:paraId="6C226F95">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比选响应文件是否退还</w:t>
            </w:r>
          </w:p>
        </w:tc>
        <w:tc>
          <w:tcPr>
            <w:tcW w:w="3285" w:type="pct"/>
            <w:tcBorders>
              <w:top w:val="single" w:color="000000" w:sz="4" w:space="0"/>
              <w:left w:val="single" w:color="000000" w:sz="4" w:space="0"/>
              <w:bottom w:val="single" w:color="000000" w:sz="4" w:space="0"/>
              <w:right w:val="single" w:color="000000" w:sz="4" w:space="0"/>
            </w:tcBorders>
            <w:vAlign w:val="center"/>
          </w:tcPr>
          <w:p w14:paraId="001F8DA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否</w:t>
            </w:r>
          </w:p>
        </w:tc>
      </w:tr>
      <w:tr w14:paraId="22772180">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E4BCF1F">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22</w:t>
            </w:r>
          </w:p>
        </w:tc>
        <w:tc>
          <w:tcPr>
            <w:tcW w:w="1154" w:type="pct"/>
            <w:tcBorders>
              <w:top w:val="single" w:color="000000" w:sz="4" w:space="0"/>
              <w:left w:val="single" w:color="000000" w:sz="4" w:space="0"/>
              <w:bottom w:val="single" w:color="000000" w:sz="4" w:space="0"/>
              <w:right w:val="single" w:color="000000" w:sz="4" w:space="0"/>
            </w:tcBorders>
            <w:vAlign w:val="center"/>
          </w:tcPr>
          <w:p w14:paraId="0D55811A">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评选时间和地点</w:t>
            </w:r>
          </w:p>
        </w:tc>
        <w:tc>
          <w:tcPr>
            <w:tcW w:w="3285" w:type="pct"/>
            <w:tcBorders>
              <w:top w:val="single" w:color="000000" w:sz="4" w:space="0"/>
              <w:left w:val="single" w:color="000000" w:sz="4" w:space="0"/>
              <w:bottom w:val="single" w:color="000000" w:sz="4" w:space="0"/>
              <w:right w:val="single" w:color="000000" w:sz="4" w:space="0"/>
            </w:tcBorders>
            <w:vAlign w:val="center"/>
          </w:tcPr>
          <w:p w14:paraId="244675B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评选时间：同比选响应文件递交的截止时间</w:t>
            </w:r>
          </w:p>
          <w:p w14:paraId="3E1E10CB">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开标地点：同递交比选响应文件地点</w:t>
            </w:r>
          </w:p>
        </w:tc>
      </w:tr>
      <w:tr w14:paraId="58E20BD4">
        <w:tblPrEx>
          <w:tblCellMar>
            <w:top w:w="59" w:type="dxa"/>
            <w:left w:w="0" w:type="dxa"/>
            <w:bottom w:w="37" w:type="dxa"/>
            <w:right w:w="0" w:type="dxa"/>
          </w:tblCellMar>
        </w:tblPrEx>
        <w:trPr>
          <w:trHeight w:val="397" w:hRule="atLeast"/>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F4CF89A">
            <w:pPr>
              <w:widowControl w:val="0"/>
              <w:spacing w:after="0" w:line="560" w:lineRule="exact"/>
              <w:ind w:firstLine="480" w:firstLineChars="200"/>
              <w:jc w:val="both"/>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23</w:t>
            </w:r>
          </w:p>
        </w:tc>
        <w:tc>
          <w:tcPr>
            <w:tcW w:w="1154" w:type="pct"/>
            <w:tcBorders>
              <w:top w:val="single" w:color="000000" w:sz="4" w:space="0"/>
              <w:left w:val="single" w:color="000000" w:sz="4" w:space="0"/>
              <w:bottom w:val="single" w:color="000000" w:sz="4" w:space="0"/>
              <w:right w:val="single" w:color="000000" w:sz="4" w:space="0"/>
            </w:tcBorders>
            <w:vAlign w:val="center"/>
          </w:tcPr>
          <w:p w14:paraId="56EA0243">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履约保证金</w:t>
            </w:r>
          </w:p>
        </w:tc>
        <w:tc>
          <w:tcPr>
            <w:tcW w:w="3285" w:type="pct"/>
            <w:tcBorders>
              <w:top w:val="single" w:color="000000" w:sz="4" w:space="0"/>
              <w:left w:val="single" w:color="000000" w:sz="4" w:space="0"/>
              <w:bottom w:val="single" w:color="000000" w:sz="4" w:space="0"/>
              <w:right w:val="single" w:color="000000" w:sz="4" w:space="0"/>
            </w:tcBorders>
            <w:vAlign w:val="center"/>
          </w:tcPr>
          <w:p w14:paraId="6A65A7C4">
            <w:pPr>
              <w:widowControl w:val="0"/>
              <w:spacing w:after="0" w:line="360" w:lineRule="exact"/>
              <w:rPr>
                <w:rFonts w:ascii="仿宋" w:hAnsi="仿宋" w:eastAsia="仿宋" w:cs="仿宋_GB2312"/>
                <w:color w:val="auto"/>
                <w:kern w:val="0"/>
                <w:sz w:val="24"/>
                <w:szCs w:val="24"/>
                <w:highlight w:val="none"/>
              </w:rPr>
            </w:pPr>
            <w:r>
              <w:rPr>
                <w:rFonts w:hint="eastAsia" w:ascii="仿宋" w:hAnsi="仿宋" w:eastAsia="仿宋" w:cs="仿宋_GB2312"/>
                <w:color w:val="auto"/>
                <w:kern w:val="0"/>
                <w:sz w:val="24"/>
                <w:szCs w:val="24"/>
                <w:highlight w:val="none"/>
              </w:rPr>
              <w:t>不要求</w:t>
            </w:r>
          </w:p>
        </w:tc>
      </w:tr>
    </w:tbl>
    <w:p w14:paraId="72ECA6FE">
      <w:pPr>
        <w:rPr>
          <w:rFonts w:ascii="仿宋" w:hAnsi="仿宋" w:eastAsia="仿宋" w:cs="Times New Roman"/>
          <w:color w:val="auto"/>
          <w:sz w:val="32"/>
          <w:szCs w:val="32"/>
          <w:highlight w:val="none"/>
        </w:rPr>
      </w:pPr>
      <w:bookmarkStart w:id="27" w:name="_Toc32563"/>
      <w:bookmarkStart w:id="28" w:name="_Toc10701"/>
    </w:p>
    <w:p w14:paraId="0D1A2A26">
      <w:pPr>
        <w:rPr>
          <w:rFonts w:ascii="仿宋" w:hAnsi="仿宋" w:eastAsia="仿宋" w:cs="Times New Roman"/>
          <w:color w:val="auto"/>
          <w:sz w:val="32"/>
          <w:szCs w:val="32"/>
          <w:highlight w:val="none"/>
        </w:rPr>
        <w:sectPr>
          <w:footerReference r:id="rId7" w:type="default"/>
          <w:pgSz w:w="12240" w:h="15840"/>
          <w:pgMar w:top="2098" w:right="1474" w:bottom="1984" w:left="1587" w:header="720" w:footer="720" w:gutter="0"/>
          <w:cols w:space="720" w:num="1"/>
        </w:sectPr>
      </w:pPr>
    </w:p>
    <w:p w14:paraId="18A900D3">
      <w:pPr>
        <w:jc w:val="center"/>
        <w:rPr>
          <w:rFonts w:ascii="仿宋" w:hAnsi="仿宋" w:eastAsia="仿宋" w:cs="Times New Roman"/>
          <w:color w:val="auto"/>
          <w:sz w:val="40"/>
          <w:szCs w:val="21"/>
          <w:highlight w:val="none"/>
        </w:rPr>
      </w:pPr>
      <w:r>
        <w:rPr>
          <w:rFonts w:hint="eastAsia" w:ascii="仿宋" w:hAnsi="仿宋" w:eastAsia="仿宋" w:cs="Times New Roman"/>
          <w:color w:val="auto"/>
          <w:sz w:val="32"/>
          <w:szCs w:val="32"/>
          <w:highlight w:val="none"/>
        </w:rPr>
        <w:t xml:space="preserve">第三章  </w:t>
      </w:r>
      <w:r>
        <w:rPr>
          <w:rFonts w:ascii="仿宋" w:hAnsi="仿宋" w:eastAsia="仿宋" w:cs="Times New Roman"/>
          <w:color w:val="auto"/>
          <w:sz w:val="32"/>
          <w:szCs w:val="32"/>
          <w:highlight w:val="none"/>
        </w:rPr>
        <w:t>评审办法（综合评分法）</w:t>
      </w:r>
      <w:bookmarkEnd w:id="27"/>
      <w:bookmarkEnd w:id="28"/>
    </w:p>
    <w:p w14:paraId="2691659C">
      <w:pPr>
        <w:rPr>
          <w:rFonts w:ascii="仿宋" w:hAnsi="仿宋" w:eastAsia="仿宋" w:cs="Times New Roman"/>
          <w:highlight w:val="none"/>
        </w:rPr>
      </w:pPr>
    </w:p>
    <w:p w14:paraId="32F3EC09">
      <w:pPr>
        <w:spacing w:after="0" w:line="360" w:lineRule="auto"/>
        <w:ind w:firstLine="560" w:firstLineChars="200"/>
        <w:rPr>
          <w:rFonts w:ascii="仿宋" w:hAnsi="仿宋" w:eastAsia="仿宋" w:cs="Times New Roman"/>
          <w:bCs/>
          <w:color w:val="auto"/>
          <w:sz w:val="28"/>
          <w:szCs w:val="21"/>
          <w:highlight w:val="none"/>
        </w:rPr>
      </w:pPr>
      <w:r>
        <w:rPr>
          <w:rFonts w:ascii="仿宋" w:hAnsi="仿宋" w:eastAsia="仿宋" w:cs="Times New Roman"/>
          <w:bCs/>
          <w:color w:val="auto"/>
          <w:sz w:val="28"/>
          <w:szCs w:val="21"/>
          <w:highlight w:val="none"/>
        </w:rPr>
        <w:t>1.</w:t>
      </w:r>
      <w:r>
        <w:rPr>
          <w:rFonts w:ascii="仿宋" w:hAnsi="仿宋" w:eastAsia="仿宋" w:cs="Times New Roman"/>
          <w:bCs/>
          <w:color w:val="auto"/>
          <w:sz w:val="28"/>
          <w:szCs w:val="21"/>
          <w:highlight w:val="none"/>
          <w:lang w:val="zh-CN"/>
        </w:rPr>
        <w:t>评审</w:t>
      </w:r>
      <w:r>
        <w:rPr>
          <w:rFonts w:ascii="仿宋" w:hAnsi="仿宋" w:eastAsia="仿宋" w:cs="Times New Roman"/>
          <w:bCs/>
          <w:color w:val="auto"/>
          <w:sz w:val="28"/>
          <w:szCs w:val="21"/>
          <w:highlight w:val="none"/>
        </w:rPr>
        <w:t>小组</w:t>
      </w:r>
    </w:p>
    <w:p w14:paraId="52B2F15B">
      <w:pPr>
        <w:spacing w:after="0" w:line="360" w:lineRule="auto"/>
        <w:ind w:firstLine="480" w:firstLineChars="200"/>
        <w:rPr>
          <w:rFonts w:ascii="仿宋" w:hAnsi="仿宋" w:eastAsia="仿宋" w:cs="Times New Roman"/>
          <w:color w:val="auto"/>
          <w:sz w:val="24"/>
          <w:szCs w:val="24"/>
          <w:highlight w:val="none"/>
          <w:lang w:val="zh-CN"/>
        </w:rPr>
      </w:pPr>
      <w:r>
        <w:rPr>
          <w:rFonts w:ascii="仿宋" w:hAnsi="仿宋" w:eastAsia="仿宋" w:cs="Times New Roman"/>
          <w:color w:val="auto"/>
          <w:sz w:val="24"/>
          <w:szCs w:val="24"/>
          <w:highlight w:val="none"/>
          <w:lang w:val="zh-CN"/>
        </w:rPr>
        <w:t>1.</w:t>
      </w:r>
      <w:r>
        <w:rPr>
          <w:rFonts w:ascii="仿宋" w:hAnsi="仿宋" w:eastAsia="仿宋" w:cs="Times New Roman"/>
          <w:color w:val="auto"/>
          <w:sz w:val="24"/>
          <w:szCs w:val="24"/>
          <w:highlight w:val="none"/>
        </w:rPr>
        <w:t>1</w:t>
      </w:r>
      <w:r>
        <w:rPr>
          <w:rFonts w:ascii="仿宋" w:hAnsi="仿宋" w:eastAsia="仿宋" w:cs="Times New Roman"/>
          <w:color w:val="auto"/>
          <w:sz w:val="24"/>
          <w:szCs w:val="24"/>
          <w:highlight w:val="none"/>
          <w:lang w:val="zh-CN"/>
        </w:rPr>
        <w:t>评审工作由比选人相关成员组建的评审</w:t>
      </w:r>
      <w:r>
        <w:rPr>
          <w:rFonts w:ascii="仿宋" w:hAnsi="仿宋" w:eastAsia="仿宋" w:cs="Times New Roman"/>
          <w:color w:val="auto"/>
          <w:sz w:val="24"/>
          <w:szCs w:val="24"/>
          <w:highlight w:val="none"/>
        </w:rPr>
        <w:t>小组</w:t>
      </w:r>
      <w:r>
        <w:rPr>
          <w:rFonts w:ascii="仿宋" w:hAnsi="仿宋" w:eastAsia="仿宋" w:cs="Times New Roman"/>
          <w:color w:val="auto"/>
          <w:sz w:val="24"/>
          <w:szCs w:val="24"/>
          <w:highlight w:val="none"/>
          <w:lang w:val="zh-CN"/>
        </w:rPr>
        <w:t>负责。</w:t>
      </w:r>
    </w:p>
    <w:p w14:paraId="35E212F7">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1.2</w:t>
      </w:r>
      <w:r>
        <w:rPr>
          <w:rFonts w:ascii="仿宋" w:hAnsi="仿宋" w:eastAsia="仿宋" w:cs="Times New Roman"/>
          <w:color w:val="auto"/>
          <w:sz w:val="24"/>
          <w:szCs w:val="28"/>
          <w:highlight w:val="none"/>
          <w:lang w:val="zh-CN"/>
        </w:rPr>
        <w:t>与本次</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存在经济利益或亲属关系的成员应当自行回避。</w:t>
      </w:r>
    </w:p>
    <w:p w14:paraId="3CFE5E94">
      <w:pPr>
        <w:spacing w:after="0" w:line="360" w:lineRule="auto"/>
        <w:ind w:firstLine="560" w:firstLineChars="200"/>
        <w:rPr>
          <w:rFonts w:ascii="仿宋" w:hAnsi="仿宋" w:eastAsia="仿宋" w:cs="Times New Roman"/>
          <w:bCs/>
          <w:color w:val="auto"/>
          <w:sz w:val="28"/>
          <w:szCs w:val="21"/>
          <w:highlight w:val="none"/>
          <w:lang w:val="zh-CN"/>
        </w:rPr>
      </w:pPr>
      <w:r>
        <w:rPr>
          <w:rFonts w:ascii="仿宋" w:hAnsi="仿宋" w:eastAsia="仿宋" w:cs="Times New Roman"/>
          <w:bCs/>
          <w:color w:val="auto"/>
          <w:sz w:val="28"/>
          <w:szCs w:val="21"/>
          <w:highlight w:val="none"/>
        </w:rPr>
        <w:t>2.</w:t>
      </w:r>
      <w:r>
        <w:rPr>
          <w:rFonts w:ascii="仿宋" w:hAnsi="仿宋" w:eastAsia="仿宋" w:cs="Times New Roman"/>
          <w:bCs/>
          <w:color w:val="auto"/>
          <w:sz w:val="28"/>
          <w:szCs w:val="21"/>
          <w:highlight w:val="none"/>
          <w:lang w:val="zh-CN"/>
        </w:rPr>
        <w:t>评审程序</w:t>
      </w:r>
    </w:p>
    <w:p w14:paraId="057F2D3C">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w:t>
      </w:r>
      <w:r>
        <w:rPr>
          <w:rFonts w:ascii="仿宋" w:hAnsi="仿宋" w:eastAsia="仿宋" w:cs="Times New Roman"/>
          <w:color w:val="auto"/>
          <w:sz w:val="24"/>
          <w:szCs w:val="28"/>
          <w:highlight w:val="none"/>
          <w:lang w:val="zh-CN"/>
        </w:rPr>
        <w:t>根据各</w:t>
      </w:r>
      <w:r>
        <w:rPr>
          <w:rFonts w:ascii="仿宋" w:hAnsi="仿宋" w:eastAsia="仿宋" w:cs="Times New Roman"/>
          <w:color w:val="auto"/>
          <w:sz w:val="24"/>
          <w:szCs w:val="28"/>
          <w:highlight w:val="none"/>
        </w:rPr>
        <w:t>参选人</w:t>
      </w:r>
      <w:r>
        <w:rPr>
          <w:rFonts w:ascii="仿宋" w:hAnsi="仿宋" w:eastAsia="仿宋" w:cs="Times New Roman"/>
          <w:color w:val="auto"/>
          <w:sz w:val="24"/>
          <w:szCs w:val="28"/>
          <w:highlight w:val="none"/>
          <w:lang w:val="zh-CN"/>
        </w:rPr>
        <w:t>递交的比选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按照以下程序进行评审工作：</w:t>
      </w:r>
    </w:p>
    <w:p w14:paraId="7AF705A0">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2.1.1</w:t>
      </w:r>
      <w:r>
        <w:rPr>
          <w:rFonts w:ascii="仿宋" w:hAnsi="仿宋" w:eastAsia="仿宋" w:cs="Times New Roman"/>
          <w:color w:val="auto"/>
          <w:sz w:val="24"/>
          <w:szCs w:val="28"/>
          <w:highlight w:val="none"/>
          <w:lang w:val="zh-CN"/>
        </w:rPr>
        <w:t>对比选</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文件进行初审（包括</w:t>
      </w:r>
      <w:r>
        <w:rPr>
          <w:rFonts w:ascii="仿宋" w:hAnsi="仿宋" w:eastAsia="仿宋" w:cs="Times New Roman"/>
          <w:color w:val="auto"/>
          <w:sz w:val="24"/>
          <w:szCs w:val="28"/>
          <w:highlight w:val="none"/>
        </w:rPr>
        <w:t>形式评审、资格评审、响应性评审</w:t>
      </w:r>
      <w:r>
        <w:rPr>
          <w:rFonts w:ascii="仿宋" w:hAnsi="仿宋" w:eastAsia="仿宋" w:cs="Times New Roman"/>
          <w:color w:val="auto"/>
          <w:sz w:val="24"/>
          <w:szCs w:val="28"/>
          <w:highlight w:val="none"/>
          <w:lang w:val="zh-CN"/>
        </w:rPr>
        <w:t>，剔除无效比选</w:t>
      </w:r>
      <w:r>
        <w:rPr>
          <w:rFonts w:ascii="仿宋" w:hAnsi="仿宋" w:eastAsia="仿宋" w:cs="Times New Roman"/>
          <w:color w:val="auto"/>
          <w:sz w:val="24"/>
          <w:szCs w:val="28"/>
          <w:highlight w:val="none"/>
        </w:rPr>
        <w:t>响应文件</w:t>
      </w:r>
      <w:r>
        <w:rPr>
          <w:rFonts w:ascii="仿宋" w:hAnsi="仿宋" w:eastAsia="仿宋" w:cs="Times New Roman"/>
          <w:color w:val="auto"/>
          <w:sz w:val="24"/>
          <w:szCs w:val="28"/>
          <w:highlight w:val="none"/>
          <w:lang w:val="zh-CN"/>
        </w:rPr>
        <w:t>）；</w:t>
      </w:r>
    </w:p>
    <w:p w14:paraId="719FB91E">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2.1.2</w:t>
      </w:r>
      <w:r>
        <w:rPr>
          <w:rFonts w:ascii="仿宋" w:hAnsi="仿宋" w:eastAsia="仿宋" w:cs="Times New Roman"/>
          <w:color w:val="auto"/>
          <w:sz w:val="24"/>
          <w:szCs w:val="28"/>
          <w:highlight w:val="none"/>
          <w:lang w:val="zh-CN"/>
        </w:rPr>
        <w:t>按照比选人制定的《评审标准》对通过初审的</w:t>
      </w:r>
      <w:r>
        <w:rPr>
          <w:rFonts w:ascii="仿宋" w:hAnsi="仿宋" w:eastAsia="仿宋" w:cs="Times New Roman"/>
          <w:color w:val="auto"/>
          <w:sz w:val="24"/>
          <w:szCs w:val="28"/>
          <w:highlight w:val="none"/>
        </w:rPr>
        <w:t>响应</w:t>
      </w:r>
      <w:r>
        <w:rPr>
          <w:rFonts w:ascii="仿宋" w:hAnsi="仿宋" w:eastAsia="仿宋" w:cs="Times New Roman"/>
          <w:color w:val="auto"/>
          <w:sz w:val="24"/>
          <w:szCs w:val="28"/>
          <w:highlight w:val="none"/>
          <w:lang w:val="zh-CN"/>
        </w:rPr>
        <w:t>文件逐项打分；</w:t>
      </w:r>
    </w:p>
    <w:p w14:paraId="178DA69E">
      <w:pPr>
        <w:spacing w:after="0" w:line="360" w:lineRule="auto"/>
        <w:ind w:firstLine="480" w:firstLineChars="200"/>
        <w:rPr>
          <w:rFonts w:ascii="仿宋" w:hAnsi="仿宋" w:eastAsia="仿宋" w:cs="Times New Roman"/>
          <w:color w:val="auto"/>
          <w:sz w:val="24"/>
          <w:szCs w:val="28"/>
          <w:highlight w:val="none"/>
          <w:lang w:val="zh-CN"/>
        </w:rPr>
      </w:pPr>
      <w:r>
        <w:rPr>
          <w:rFonts w:ascii="仿宋" w:hAnsi="仿宋" w:eastAsia="仿宋" w:cs="Times New Roman"/>
          <w:color w:val="auto"/>
          <w:sz w:val="24"/>
          <w:szCs w:val="28"/>
          <w:highlight w:val="none"/>
        </w:rPr>
        <w:t>2.1.3评审小组对所有参选人的综合得分从高到低进行排序，根据评分排名推荐1-3名作为中选人。</w:t>
      </w:r>
    </w:p>
    <w:p w14:paraId="303DB279">
      <w:pPr>
        <w:spacing w:after="0" w:line="360" w:lineRule="auto"/>
        <w:ind w:firstLine="560" w:firstLineChars="200"/>
        <w:rPr>
          <w:rFonts w:ascii="仿宋" w:hAnsi="仿宋" w:eastAsia="仿宋" w:cs="Times New Roman"/>
          <w:b/>
          <w:bCs/>
          <w:color w:val="auto"/>
          <w:sz w:val="24"/>
          <w:szCs w:val="24"/>
          <w:highlight w:val="none"/>
        </w:rPr>
      </w:pPr>
      <w:r>
        <w:rPr>
          <w:rFonts w:hint="eastAsia" w:ascii="仿宋" w:hAnsi="仿宋" w:eastAsia="仿宋" w:cs="Times New Roman"/>
          <w:bCs/>
          <w:color w:val="auto"/>
          <w:sz w:val="28"/>
          <w:szCs w:val="21"/>
          <w:highlight w:val="none"/>
        </w:rPr>
        <w:t>3.</w:t>
      </w:r>
      <w:r>
        <w:rPr>
          <w:rFonts w:ascii="仿宋" w:hAnsi="仿宋" w:eastAsia="仿宋" w:cs="Times New Roman"/>
          <w:bCs/>
          <w:color w:val="auto"/>
          <w:sz w:val="28"/>
          <w:szCs w:val="21"/>
          <w:highlight w:val="none"/>
        </w:rPr>
        <w:t>评审标准</w:t>
      </w:r>
    </w:p>
    <w:p w14:paraId="49F492D7">
      <w:pPr>
        <w:spacing w:after="0" w:line="360" w:lineRule="auto"/>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（一）初步评审表</w:t>
      </w:r>
    </w:p>
    <w:tbl>
      <w:tblPr>
        <w:tblStyle w:val="45"/>
        <w:tblW w:w="4805" w:type="pct"/>
        <w:jc w:val="center"/>
        <w:tblLayout w:type="autofit"/>
        <w:tblCellMar>
          <w:top w:w="0" w:type="dxa"/>
          <w:left w:w="108" w:type="dxa"/>
          <w:bottom w:w="46" w:type="dxa"/>
          <w:right w:w="89" w:type="dxa"/>
        </w:tblCellMar>
      </w:tblPr>
      <w:tblGrid>
        <w:gridCol w:w="529"/>
        <w:gridCol w:w="1105"/>
        <w:gridCol w:w="1936"/>
        <w:gridCol w:w="5440"/>
      </w:tblGrid>
      <w:tr w14:paraId="224FE5E4">
        <w:tblPrEx>
          <w:tblCellMar>
            <w:top w:w="0" w:type="dxa"/>
            <w:left w:w="108" w:type="dxa"/>
            <w:bottom w:w="46" w:type="dxa"/>
            <w:right w:w="89" w:type="dxa"/>
          </w:tblCellMar>
        </w:tblPrEx>
        <w:trPr>
          <w:trHeight w:val="482"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46B21580">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条款号</w:t>
            </w:r>
          </w:p>
        </w:tc>
        <w:tc>
          <w:tcPr>
            <w:tcW w:w="1074" w:type="pct"/>
            <w:tcBorders>
              <w:top w:val="single" w:color="000000" w:sz="4" w:space="0"/>
              <w:left w:val="single" w:color="000000" w:sz="4" w:space="0"/>
              <w:bottom w:val="single" w:color="000000" w:sz="4" w:space="0"/>
              <w:right w:val="single" w:color="000000" w:sz="4" w:space="0"/>
            </w:tcBorders>
            <w:vAlign w:val="center"/>
          </w:tcPr>
          <w:p w14:paraId="38EFAFB5">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评审因素</w:t>
            </w:r>
          </w:p>
        </w:tc>
        <w:tc>
          <w:tcPr>
            <w:tcW w:w="3018" w:type="pct"/>
            <w:tcBorders>
              <w:top w:val="single" w:color="000000" w:sz="4" w:space="0"/>
              <w:left w:val="single" w:color="000000" w:sz="4" w:space="0"/>
              <w:bottom w:val="single" w:color="000000" w:sz="4" w:space="0"/>
              <w:right w:val="single" w:color="000000" w:sz="4" w:space="0"/>
            </w:tcBorders>
            <w:vAlign w:val="center"/>
          </w:tcPr>
          <w:p w14:paraId="5E349548">
            <w:pPr>
              <w:spacing w:after="0" w:line="300" w:lineRule="exact"/>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评审标准</w:t>
            </w:r>
          </w:p>
        </w:tc>
      </w:tr>
      <w:tr w14:paraId="72BCF8F4">
        <w:tblPrEx>
          <w:tblCellMar>
            <w:top w:w="0" w:type="dxa"/>
            <w:left w:w="108" w:type="dxa"/>
            <w:bottom w:w="46" w:type="dxa"/>
            <w:right w:w="89" w:type="dxa"/>
          </w:tblCellMar>
        </w:tblPrEx>
        <w:trPr>
          <w:trHeight w:val="90" w:hRule="atLeast"/>
          <w:jc w:val="center"/>
        </w:trPr>
        <w:tc>
          <w:tcPr>
            <w:tcW w:w="294" w:type="pct"/>
            <w:vMerge w:val="restart"/>
            <w:tcBorders>
              <w:top w:val="single" w:color="000000" w:sz="4" w:space="0"/>
              <w:left w:val="single" w:color="000000" w:sz="4" w:space="0"/>
              <w:right w:val="single" w:color="000000" w:sz="4" w:space="0"/>
            </w:tcBorders>
            <w:vAlign w:val="center"/>
          </w:tcPr>
          <w:p w14:paraId="6E332388">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1</w:t>
            </w:r>
          </w:p>
        </w:tc>
        <w:tc>
          <w:tcPr>
            <w:tcW w:w="613" w:type="pct"/>
            <w:vMerge w:val="restart"/>
            <w:tcBorders>
              <w:top w:val="single" w:color="000000" w:sz="4" w:space="0"/>
              <w:left w:val="single" w:color="000000" w:sz="4" w:space="0"/>
              <w:right w:val="single" w:color="000000" w:sz="4" w:space="0"/>
            </w:tcBorders>
            <w:vAlign w:val="center"/>
          </w:tcPr>
          <w:p w14:paraId="3AE71217">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形式评审</w:t>
            </w:r>
          </w:p>
          <w:p w14:paraId="4DADD598">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000000" w:sz="4" w:space="0"/>
              <w:left w:val="single" w:color="000000" w:sz="4" w:space="0"/>
              <w:bottom w:val="single" w:color="000000" w:sz="4" w:space="0"/>
              <w:right w:val="single" w:color="000000" w:sz="4" w:space="0"/>
            </w:tcBorders>
            <w:vAlign w:val="center"/>
          </w:tcPr>
          <w:p w14:paraId="20E80EDF">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参选人名称</w:t>
            </w:r>
          </w:p>
        </w:tc>
        <w:tc>
          <w:tcPr>
            <w:tcW w:w="3018" w:type="pct"/>
            <w:tcBorders>
              <w:top w:val="single" w:color="000000" w:sz="4" w:space="0"/>
              <w:left w:val="single" w:color="000000" w:sz="4" w:space="0"/>
              <w:bottom w:val="single" w:color="000000" w:sz="4" w:space="0"/>
              <w:right w:val="single" w:color="000000" w:sz="4" w:space="0"/>
            </w:tcBorders>
            <w:vAlign w:val="center"/>
          </w:tcPr>
          <w:p w14:paraId="018F5503">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与律师事务所执业许可证一致</w:t>
            </w:r>
          </w:p>
        </w:tc>
      </w:tr>
      <w:tr w14:paraId="3274CFFB">
        <w:tblPrEx>
          <w:tblCellMar>
            <w:top w:w="0" w:type="dxa"/>
            <w:left w:w="108" w:type="dxa"/>
            <w:bottom w:w="46" w:type="dxa"/>
            <w:right w:w="89" w:type="dxa"/>
          </w:tblCellMar>
        </w:tblPrEx>
        <w:trPr>
          <w:trHeight w:val="1515" w:hRule="atLeast"/>
          <w:jc w:val="center"/>
        </w:trPr>
        <w:tc>
          <w:tcPr>
            <w:tcW w:w="294" w:type="pct"/>
            <w:vMerge w:val="continue"/>
            <w:tcBorders>
              <w:left w:val="single" w:color="000000" w:sz="4" w:space="0"/>
              <w:right w:val="single" w:color="000000" w:sz="4" w:space="0"/>
            </w:tcBorders>
            <w:vAlign w:val="center"/>
          </w:tcPr>
          <w:p w14:paraId="56A79091">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7561ED81">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48E15E1B">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比选响应文件及比选申请函附录签字盖章</w:t>
            </w:r>
          </w:p>
        </w:tc>
        <w:tc>
          <w:tcPr>
            <w:tcW w:w="3018" w:type="pct"/>
            <w:tcBorders>
              <w:top w:val="single" w:color="000000" w:sz="4" w:space="0"/>
              <w:left w:val="single" w:color="000000" w:sz="4" w:space="0"/>
              <w:bottom w:val="single" w:color="000000" w:sz="4" w:space="0"/>
              <w:right w:val="single" w:color="000000" w:sz="4" w:space="0"/>
            </w:tcBorders>
            <w:vAlign w:val="center"/>
          </w:tcPr>
          <w:p w14:paraId="08E40F66">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（1）按照比选文件的规定和要求签字、盖章。</w:t>
            </w:r>
          </w:p>
          <w:p w14:paraId="302F6A83">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（2）由单位负责人（或其委托代理人）签字并加盖单位公章。</w:t>
            </w:r>
          </w:p>
          <w:p w14:paraId="2615EEBF">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（3）由单位负责人签字的，应附单位负责人身份证明，由代理人签字的，应附授权委托书，身份证明或授权委托书应符合第五章“比选响应文件格式”的规定。</w:t>
            </w:r>
          </w:p>
        </w:tc>
      </w:tr>
      <w:tr w14:paraId="582509B7">
        <w:tblPrEx>
          <w:tblCellMar>
            <w:top w:w="0" w:type="dxa"/>
            <w:left w:w="108" w:type="dxa"/>
            <w:bottom w:w="46" w:type="dxa"/>
            <w:right w:w="89" w:type="dxa"/>
          </w:tblCellMar>
        </w:tblPrEx>
        <w:trPr>
          <w:trHeight w:val="397" w:hRule="atLeast"/>
          <w:jc w:val="center"/>
        </w:trPr>
        <w:tc>
          <w:tcPr>
            <w:tcW w:w="294" w:type="pct"/>
            <w:vMerge w:val="continue"/>
            <w:tcBorders>
              <w:left w:val="single" w:color="000000" w:sz="4" w:space="0"/>
              <w:right w:val="single" w:color="000000" w:sz="4" w:space="0"/>
            </w:tcBorders>
            <w:vAlign w:val="center"/>
          </w:tcPr>
          <w:p w14:paraId="465BABAC">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right w:val="single" w:color="000000" w:sz="4" w:space="0"/>
            </w:tcBorders>
            <w:vAlign w:val="center"/>
          </w:tcPr>
          <w:p w14:paraId="45D5B702">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32DA932E">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比选响应文件格式</w:t>
            </w:r>
          </w:p>
        </w:tc>
        <w:tc>
          <w:tcPr>
            <w:tcW w:w="3018" w:type="pct"/>
            <w:tcBorders>
              <w:top w:val="single" w:color="000000" w:sz="4" w:space="0"/>
              <w:left w:val="single" w:color="000000" w:sz="4" w:space="0"/>
              <w:bottom w:val="single" w:color="000000" w:sz="4" w:space="0"/>
              <w:right w:val="single" w:color="000000" w:sz="4" w:space="0"/>
            </w:tcBorders>
            <w:vAlign w:val="center"/>
          </w:tcPr>
          <w:p w14:paraId="064D222F">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符合第五章“比选响应文件格式”的规定</w:t>
            </w:r>
          </w:p>
        </w:tc>
      </w:tr>
      <w:tr w14:paraId="33797C11">
        <w:tblPrEx>
          <w:tblCellMar>
            <w:top w:w="0" w:type="dxa"/>
            <w:left w:w="108" w:type="dxa"/>
            <w:bottom w:w="46" w:type="dxa"/>
            <w:right w:w="89" w:type="dxa"/>
          </w:tblCellMar>
        </w:tblPrEx>
        <w:trPr>
          <w:trHeight w:val="376" w:hRule="atLeast"/>
          <w:jc w:val="center"/>
        </w:trPr>
        <w:tc>
          <w:tcPr>
            <w:tcW w:w="294" w:type="pct"/>
            <w:vMerge w:val="continue"/>
            <w:tcBorders>
              <w:left w:val="single" w:color="000000" w:sz="4" w:space="0"/>
              <w:bottom w:val="nil"/>
              <w:right w:val="single" w:color="000000" w:sz="4" w:space="0"/>
            </w:tcBorders>
            <w:vAlign w:val="center"/>
          </w:tcPr>
          <w:p w14:paraId="1FF28481">
            <w:pPr>
              <w:spacing w:after="0" w:line="300" w:lineRule="exact"/>
              <w:rPr>
                <w:rFonts w:ascii="仿宋" w:hAnsi="仿宋" w:eastAsia="仿宋" w:cs="仿宋_GB2312"/>
                <w:color w:val="auto"/>
                <w:sz w:val="24"/>
                <w:szCs w:val="24"/>
                <w:highlight w:val="none"/>
              </w:rPr>
            </w:pPr>
          </w:p>
        </w:tc>
        <w:tc>
          <w:tcPr>
            <w:tcW w:w="613" w:type="pct"/>
            <w:vMerge w:val="continue"/>
            <w:tcBorders>
              <w:left w:val="single" w:color="000000" w:sz="4" w:space="0"/>
              <w:bottom w:val="nil"/>
              <w:right w:val="single" w:color="000000" w:sz="4" w:space="0"/>
            </w:tcBorders>
            <w:vAlign w:val="center"/>
          </w:tcPr>
          <w:p w14:paraId="35D2063B">
            <w:pPr>
              <w:spacing w:after="0" w:line="300" w:lineRule="exact"/>
              <w:rPr>
                <w:rFonts w:ascii="仿宋" w:hAnsi="仿宋" w:eastAsia="仿宋" w:cs="仿宋_GB2312"/>
                <w:color w:val="auto"/>
                <w:sz w:val="21"/>
                <w:szCs w:val="21"/>
                <w:highlight w:val="none"/>
              </w:rPr>
            </w:pPr>
          </w:p>
        </w:tc>
        <w:tc>
          <w:tcPr>
            <w:tcW w:w="1074" w:type="pct"/>
            <w:tcBorders>
              <w:top w:val="single" w:color="000000" w:sz="4" w:space="0"/>
              <w:left w:val="single" w:color="000000" w:sz="4" w:space="0"/>
              <w:bottom w:val="single" w:color="000000" w:sz="4" w:space="0"/>
              <w:right w:val="single" w:color="000000" w:sz="4" w:space="0"/>
            </w:tcBorders>
            <w:vAlign w:val="center"/>
          </w:tcPr>
          <w:p w14:paraId="5545D635">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000000" w:sz="4" w:space="0"/>
              <w:left w:val="single" w:color="000000" w:sz="4" w:space="0"/>
              <w:bottom w:val="single" w:color="000000" w:sz="4" w:space="0"/>
              <w:right w:val="single" w:color="000000" w:sz="4" w:space="0"/>
            </w:tcBorders>
            <w:vAlign w:val="center"/>
          </w:tcPr>
          <w:p w14:paraId="733781BF">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8CCA1EA">
        <w:tblPrEx>
          <w:tblCellMar>
            <w:top w:w="0" w:type="dxa"/>
            <w:left w:w="108" w:type="dxa"/>
            <w:bottom w:w="46" w:type="dxa"/>
            <w:right w:w="89" w:type="dxa"/>
          </w:tblCellMar>
        </w:tblPrEx>
        <w:trPr>
          <w:trHeight w:val="563"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56995F6E">
            <w:pPr>
              <w:spacing w:after="0" w:line="300" w:lineRule="exact"/>
              <w:jc w:val="center"/>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2</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54EEF532">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资格评审</w:t>
            </w:r>
          </w:p>
          <w:p w14:paraId="6E417121">
            <w:pPr>
              <w:spacing w:after="0" w:line="300" w:lineRule="exact"/>
              <w:jc w:val="center"/>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标准 </w:t>
            </w:r>
          </w:p>
        </w:tc>
        <w:tc>
          <w:tcPr>
            <w:tcW w:w="1074" w:type="pct"/>
            <w:tcBorders>
              <w:top w:val="single" w:color="auto" w:sz="4" w:space="0"/>
              <w:left w:val="single" w:color="auto" w:sz="4" w:space="0"/>
              <w:bottom w:val="single" w:color="auto" w:sz="4" w:space="0"/>
              <w:right w:val="single" w:color="auto" w:sz="4" w:space="0"/>
            </w:tcBorders>
            <w:vAlign w:val="center"/>
          </w:tcPr>
          <w:p w14:paraId="5F9DE364">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执业许可证</w:t>
            </w:r>
          </w:p>
        </w:tc>
        <w:tc>
          <w:tcPr>
            <w:tcW w:w="3018" w:type="pct"/>
            <w:tcBorders>
              <w:top w:val="single" w:color="auto" w:sz="4" w:space="0"/>
              <w:left w:val="single" w:color="auto" w:sz="4" w:space="0"/>
              <w:bottom w:val="single" w:color="auto" w:sz="4" w:space="0"/>
              <w:right w:val="single" w:color="auto" w:sz="4" w:space="0"/>
            </w:tcBorders>
            <w:vAlign w:val="center"/>
          </w:tcPr>
          <w:p w14:paraId="47295C74">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提供律师事务所执业许可证</w:t>
            </w:r>
          </w:p>
        </w:tc>
      </w:tr>
      <w:tr w14:paraId="1D6EA0F5">
        <w:tblPrEx>
          <w:tblCellMar>
            <w:top w:w="0" w:type="dxa"/>
            <w:left w:w="108" w:type="dxa"/>
            <w:bottom w:w="46" w:type="dxa"/>
            <w:right w:w="89" w:type="dxa"/>
          </w:tblCellMar>
        </w:tblPrEx>
        <w:trPr>
          <w:trHeight w:val="49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7D6C4454">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3D863ECE">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2243B14">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信誉要求</w:t>
            </w:r>
          </w:p>
        </w:tc>
        <w:tc>
          <w:tcPr>
            <w:tcW w:w="3018" w:type="pct"/>
            <w:tcBorders>
              <w:top w:val="single" w:color="auto" w:sz="4" w:space="0"/>
              <w:left w:val="single" w:color="auto" w:sz="4" w:space="0"/>
              <w:bottom w:val="single" w:color="auto" w:sz="4" w:space="0"/>
              <w:right w:val="single" w:color="auto" w:sz="4" w:space="0"/>
            </w:tcBorders>
            <w:vAlign w:val="center"/>
          </w:tcPr>
          <w:p w14:paraId="22FB4ABB">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提供“信用中国网站”严重失信主体名单、经营异常名录查询、失信被执行人查询、重大税收违法失信主体查询的截图</w:t>
            </w:r>
          </w:p>
        </w:tc>
      </w:tr>
      <w:tr w14:paraId="677210ED">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3821933F">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7B1AB339">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4A5A7BA8">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参选人及服务成员要求</w:t>
            </w:r>
          </w:p>
        </w:tc>
        <w:tc>
          <w:tcPr>
            <w:tcW w:w="3018" w:type="pct"/>
            <w:tcBorders>
              <w:top w:val="single" w:color="auto" w:sz="4" w:space="0"/>
              <w:left w:val="single" w:color="auto" w:sz="4" w:space="0"/>
              <w:bottom w:val="single" w:color="auto" w:sz="4" w:space="0"/>
              <w:right w:val="single" w:color="auto" w:sz="4" w:space="0"/>
            </w:tcBorders>
            <w:vAlign w:val="center"/>
          </w:tcPr>
          <w:p w14:paraId="0C46AFBB">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提供承诺函：参选人需承诺律所及团队成员无刑事犯罪记录，近3年内未受过纪律处分、行政处罚或行业处分</w:t>
            </w:r>
          </w:p>
          <w:p w14:paraId="0ED0484B">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；承诺参选人须具有与本比选项目相应的法律服务能力，参选人需指派三名专职律师承办本案。</w:t>
            </w:r>
          </w:p>
        </w:tc>
      </w:tr>
      <w:tr w14:paraId="49578601">
        <w:tblPrEx>
          <w:tblCellMar>
            <w:top w:w="0" w:type="dxa"/>
            <w:left w:w="108" w:type="dxa"/>
            <w:bottom w:w="46" w:type="dxa"/>
            <w:right w:w="89" w:type="dxa"/>
          </w:tblCellMar>
        </w:tblPrEx>
        <w:trPr>
          <w:trHeight w:val="569"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1E005055">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0D168681">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3432AA20">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联合体要求</w:t>
            </w:r>
          </w:p>
        </w:tc>
        <w:tc>
          <w:tcPr>
            <w:tcW w:w="3018" w:type="pct"/>
            <w:tcBorders>
              <w:top w:val="single" w:color="auto" w:sz="4" w:space="0"/>
              <w:left w:val="single" w:color="auto" w:sz="4" w:space="0"/>
              <w:bottom w:val="single" w:color="auto" w:sz="4" w:space="0"/>
              <w:right w:val="single" w:color="auto" w:sz="4" w:space="0"/>
            </w:tcBorders>
            <w:vAlign w:val="center"/>
          </w:tcPr>
          <w:p w14:paraId="16B56E5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提供承诺函：参选人需承诺为非联合体</w:t>
            </w:r>
          </w:p>
        </w:tc>
      </w:tr>
      <w:tr w14:paraId="17E2E114">
        <w:tblPrEx>
          <w:tblCellMar>
            <w:top w:w="0" w:type="dxa"/>
            <w:left w:w="108" w:type="dxa"/>
            <w:bottom w:w="46" w:type="dxa"/>
            <w:right w:w="89" w:type="dxa"/>
          </w:tblCellMar>
        </w:tblPrEx>
        <w:trPr>
          <w:trHeight w:val="569"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3DBCB240">
            <w:pPr>
              <w:spacing w:after="0" w:line="300" w:lineRule="exact"/>
              <w:rPr>
                <w:rFonts w:ascii="仿宋" w:hAnsi="仿宋" w:eastAsia="仿宋" w:cs="Times New Roman"/>
                <w:color w:val="auto"/>
                <w:highlight w:val="none"/>
              </w:rPr>
            </w:pPr>
          </w:p>
        </w:tc>
        <w:tc>
          <w:tcPr>
            <w:tcW w:w="613" w:type="pct"/>
            <w:tcBorders>
              <w:top w:val="single" w:color="auto" w:sz="4" w:space="0"/>
              <w:left w:val="single" w:color="auto" w:sz="4" w:space="0"/>
              <w:bottom w:val="single" w:color="auto" w:sz="4" w:space="0"/>
              <w:right w:val="single" w:color="auto" w:sz="4" w:space="0"/>
            </w:tcBorders>
            <w:vAlign w:val="center"/>
          </w:tcPr>
          <w:p w14:paraId="0B0F0B95">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5B3C0DC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29EA2D91">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r w14:paraId="108DCFA2">
        <w:tblPrEx>
          <w:tblCellMar>
            <w:top w:w="0" w:type="dxa"/>
            <w:left w:w="108" w:type="dxa"/>
            <w:bottom w:w="46" w:type="dxa"/>
            <w:right w:w="89" w:type="dxa"/>
          </w:tblCellMar>
        </w:tblPrEx>
        <w:trPr>
          <w:trHeight w:val="619" w:hRule="atLeast"/>
          <w:jc w:val="center"/>
        </w:trPr>
        <w:tc>
          <w:tcPr>
            <w:tcW w:w="294" w:type="pct"/>
            <w:vMerge w:val="restart"/>
            <w:tcBorders>
              <w:top w:val="single" w:color="auto" w:sz="4" w:space="0"/>
              <w:left w:val="single" w:color="auto" w:sz="4" w:space="0"/>
              <w:bottom w:val="single" w:color="auto" w:sz="4" w:space="0"/>
              <w:right w:val="single" w:color="auto" w:sz="4" w:space="0"/>
            </w:tcBorders>
            <w:vAlign w:val="center"/>
          </w:tcPr>
          <w:p w14:paraId="75E18817">
            <w:pPr>
              <w:spacing w:after="0" w:line="300" w:lineRule="exact"/>
              <w:jc w:val="center"/>
              <w:rPr>
                <w:rFonts w:ascii="仿宋" w:hAnsi="仿宋" w:eastAsia="仿宋" w:cs="Times New Roman"/>
                <w:color w:val="auto"/>
                <w:highlight w:val="none"/>
              </w:rPr>
            </w:pPr>
            <w:r>
              <w:rPr>
                <w:rFonts w:ascii="仿宋" w:hAnsi="仿宋" w:eastAsia="仿宋" w:cs="Times New Roman"/>
                <w:color w:val="auto"/>
                <w:highlight w:val="none"/>
              </w:rPr>
              <w:t>3</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14:paraId="682ED3AA">
            <w:pPr>
              <w:spacing w:after="0" w:line="320" w:lineRule="exact"/>
              <w:jc w:val="center"/>
              <w:rPr>
                <w:rFonts w:ascii="仿宋" w:hAnsi="仿宋" w:eastAsia="仿宋" w:cs="Times New Roman"/>
                <w:color w:val="auto"/>
                <w:highlight w:val="none"/>
              </w:rPr>
            </w:pPr>
            <w:r>
              <w:rPr>
                <w:rFonts w:ascii="仿宋" w:hAnsi="仿宋" w:eastAsia="仿宋" w:cs="Times New Roman"/>
                <w:color w:val="auto"/>
                <w:sz w:val="21"/>
                <w:szCs w:val="21"/>
                <w:highlight w:val="none"/>
              </w:rPr>
              <w:t xml:space="preserve">响应性评审标准 </w:t>
            </w:r>
          </w:p>
        </w:tc>
        <w:tc>
          <w:tcPr>
            <w:tcW w:w="1074" w:type="pct"/>
            <w:tcBorders>
              <w:top w:val="single" w:color="auto" w:sz="4" w:space="0"/>
              <w:left w:val="single" w:color="auto" w:sz="4" w:space="0"/>
              <w:bottom w:val="single" w:color="auto" w:sz="4" w:space="0"/>
              <w:right w:val="single" w:color="auto" w:sz="4" w:space="0"/>
            </w:tcBorders>
            <w:vAlign w:val="center"/>
          </w:tcPr>
          <w:p w14:paraId="677AFD98">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报价在最高限价范围内</w:t>
            </w:r>
          </w:p>
        </w:tc>
        <w:tc>
          <w:tcPr>
            <w:tcW w:w="3018" w:type="pct"/>
            <w:tcBorders>
              <w:top w:val="single" w:color="auto" w:sz="4" w:space="0"/>
              <w:left w:val="single" w:color="auto" w:sz="4" w:space="0"/>
              <w:bottom w:val="single" w:color="auto" w:sz="4" w:space="0"/>
              <w:right w:val="single" w:color="auto" w:sz="4" w:space="0"/>
            </w:tcBorders>
            <w:vAlign w:val="center"/>
          </w:tcPr>
          <w:p w14:paraId="745F8C14">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符合比选人限价要求</w:t>
            </w:r>
          </w:p>
        </w:tc>
      </w:tr>
      <w:tr w14:paraId="58EFCF40">
        <w:tblPrEx>
          <w:tblCellMar>
            <w:top w:w="0" w:type="dxa"/>
            <w:left w:w="108" w:type="dxa"/>
            <w:bottom w:w="46" w:type="dxa"/>
            <w:right w:w="89" w:type="dxa"/>
          </w:tblCellMar>
        </w:tblPrEx>
        <w:trPr>
          <w:trHeight w:val="490"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2B6330C7">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1752FB3E">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657D2ECC">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服务期限</w:t>
            </w:r>
          </w:p>
        </w:tc>
        <w:tc>
          <w:tcPr>
            <w:tcW w:w="3018" w:type="pct"/>
            <w:tcBorders>
              <w:top w:val="single" w:color="auto" w:sz="4" w:space="0"/>
              <w:left w:val="single" w:color="auto" w:sz="4" w:space="0"/>
              <w:bottom w:val="single" w:color="auto" w:sz="4" w:space="0"/>
              <w:right w:val="single" w:color="auto" w:sz="4" w:space="0"/>
            </w:tcBorders>
            <w:vAlign w:val="center"/>
          </w:tcPr>
          <w:p w14:paraId="0E792792">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自代理合同签订之日起至甲方债权全部实现为止</w:t>
            </w:r>
          </w:p>
        </w:tc>
      </w:tr>
      <w:tr w14:paraId="5B028CDB">
        <w:tblPrEx>
          <w:tblCellMar>
            <w:top w:w="0" w:type="dxa"/>
            <w:left w:w="108" w:type="dxa"/>
            <w:bottom w:w="46" w:type="dxa"/>
            <w:right w:w="89" w:type="dxa"/>
          </w:tblCellMar>
        </w:tblPrEx>
        <w:trPr>
          <w:trHeight w:val="466" w:hRule="atLeast"/>
          <w:jc w:val="center"/>
        </w:trPr>
        <w:tc>
          <w:tcPr>
            <w:tcW w:w="294" w:type="pct"/>
            <w:vMerge w:val="continue"/>
            <w:tcBorders>
              <w:top w:val="single" w:color="auto" w:sz="4" w:space="0"/>
              <w:left w:val="single" w:color="auto" w:sz="4" w:space="0"/>
              <w:bottom w:val="single" w:color="auto" w:sz="4" w:space="0"/>
              <w:right w:val="single" w:color="auto" w:sz="4" w:space="0"/>
            </w:tcBorders>
            <w:vAlign w:val="center"/>
          </w:tcPr>
          <w:p w14:paraId="02EEA178">
            <w:pPr>
              <w:spacing w:after="0" w:line="300" w:lineRule="exact"/>
              <w:rPr>
                <w:rFonts w:ascii="仿宋" w:hAnsi="仿宋" w:eastAsia="仿宋" w:cs="Times New Roman"/>
                <w:color w:val="auto"/>
                <w:highlight w:val="none"/>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14:paraId="17B53C8E">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1EE0E3C4">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参选有效期</w:t>
            </w:r>
          </w:p>
        </w:tc>
        <w:tc>
          <w:tcPr>
            <w:tcW w:w="3018" w:type="pct"/>
            <w:tcBorders>
              <w:top w:val="single" w:color="auto" w:sz="4" w:space="0"/>
              <w:left w:val="single" w:color="auto" w:sz="4" w:space="0"/>
              <w:bottom w:val="single" w:color="auto" w:sz="4" w:space="0"/>
              <w:right w:val="single" w:color="auto" w:sz="4" w:space="0"/>
            </w:tcBorders>
            <w:vAlign w:val="center"/>
          </w:tcPr>
          <w:p w14:paraId="348E87F5">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报价截止之日起90天</w:t>
            </w:r>
          </w:p>
        </w:tc>
      </w:tr>
      <w:tr w14:paraId="3E2496B0">
        <w:tblPrEx>
          <w:tblCellMar>
            <w:top w:w="0" w:type="dxa"/>
            <w:left w:w="108" w:type="dxa"/>
            <w:bottom w:w="46" w:type="dxa"/>
            <w:right w:w="89" w:type="dxa"/>
          </w:tblCellMar>
        </w:tblPrEx>
        <w:trPr>
          <w:trHeight w:val="466" w:hRule="atLeast"/>
          <w:jc w:val="center"/>
        </w:trPr>
        <w:tc>
          <w:tcPr>
            <w:tcW w:w="294" w:type="pct"/>
            <w:tcBorders>
              <w:top w:val="single" w:color="auto" w:sz="4" w:space="0"/>
              <w:left w:val="single" w:color="auto" w:sz="4" w:space="0"/>
              <w:bottom w:val="single" w:color="auto" w:sz="4" w:space="0"/>
              <w:right w:val="single" w:color="auto" w:sz="4" w:space="0"/>
            </w:tcBorders>
            <w:vAlign w:val="center"/>
          </w:tcPr>
          <w:p w14:paraId="0BE29902">
            <w:pPr>
              <w:spacing w:after="0" w:line="300" w:lineRule="exact"/>
              <w:rPr>
                <w:rFonts w:ascii="仿宋" w:hAnsi="仿宋" w:eastAsia="仿宋" w:cs="Times New Roman"/>
                <w:color w:val="auto"/>
                <w:highlight w:val="none"/>
              </w:rPr>
            </w:pPr>
            <w:bookmarkStart w:id="29" w:name="_Toc12754"/>
            <w:bookmarkStart w:id="30" w:name="_Toc17543"/>
            <w:bookmarkStart w:id="31" w:name="_Toc128141260"/>
          </w:p>
        </w:tc>
        <w:tc>
          <w:tcPr>
            <w:tcW w:w="613" w:type="pct"/>
            <w:tcBorders>
              <w:top w:val="single" w:color="auto" w:sz="4" w:space="0"/>
              <w:left w:val="single" w:color="auto" w:sz="4" w:space="0"/>
              <w:bottom w:val="single" w:color="auto" w:sz="4" w:space="0"/>
              <w:right w:val="single" w:color="auto" w:sz="4" w:space="0"/>
            </w:tcBorders>
            <w:vAlign w:val="center"/>
          </w:tcPr>
          <w:p w14:paraId="0F14A757">
            <w:pPr>
              <w:spacing w:after="0" w:line="300" w:lineRule="exact"/>
              <w:rPr>
                <w:rFonts w:ascii="仿宋" w:hAnsi="仿宋" w:eastAsia="仿宋" w:cs="Times New Roman"/>
                <w:color w:val="auto"/>
                <w:highlight w:val="none"/>
              </w:rPr>
            </w:pPr>
          </w:p>
        </w:tc>
        <w:tc>
          <w:tcPr>
            <w:tcW w:w="1074" w:type="pct"/>
            <w:tcBorders>
              <w:top w:val="single" w:color="auto" w:sz="4" w:space="0"/>
              <w:left w:val="single" w:color="auto" w:sz="4" w:space="0"/>
              <w:bottom w:val="single" w:color="auto" w:sz="4" w:space="0"/>
              <w:right w:val="single" w:color="auto" w:sz="4" w:space="0"/>
            </w:tcBorders>
            <w:vAlign w:val="center"/>
          </w:tcPr>
          <w:p w14:paraId="26645E44">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结论</w:t>
            </w:r>
          </w:p>
        </w:tc>
        <w:tc>
          <w:tcPr>
            <w:tcW w:w="3018" w:type="pct"/>
            <w:tcBorders>
              <w:top w:val="single" w:color="auto" w:sz="4" w:space="0"/>
              <w:left w:val="single" w:color="auto" w:sz="4" w:space="0"/>
              <w:bottom w:val="single" w:color="auto" w:sz="4" w:space="0"/>
              <w:right w:val="single" w:color="auto" w:sz="4" w:space="0"/>
            </w:tcBorders>
            <w:vAlign w:val="center"/>
          </w:tcPr>
          <w:p w14:paraId="7381303D">
            <w:pPr>
              <w:spacing w:after="0" w:line="320" w:lineRule="exact"/>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“通过”或“不通过”</w:t>
            </w:r>
          </w:p>
        </w:tc>
      </w:tr>
    </w:tbl>
    <w:p w14:paraId="1CB5A173">
      <w:pPr>
        <w:spacing w:after="0" w:line="400" w:lineRule="exact"/>
        <w:jc w:val="center"/>
        <w:rPr>
          <w:rFonts w:ascii="仿宋" w:hAnsi="仿宋" w:eastAsia="仿宋" w:cs="仿宋_GB2312"/>
          <w:b/>
          <w:bCs/>
          <w:color w:val="auto"/>
          <w:sz w:val="28"/>
          <w:szCs w:val="28"/>
          <w:highlight w:val="none"/>
        </w:rPr>
      </w:pPr>
    </w:p>
    <w:p w14:paraId="7EFF8580">
      <w:pPr>
        <w:spacing w:after="0" w:line="400" w:lineRule="exact"/>
        <w:jc w:val="center"/>
        <w:rPr>
          <w:rFonts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rPr>
        <w:t>（二）</w:t>
      </w:r>
      <w:r>
        <w:rPr>
          <w:rFonts w:ascii="仿宋" w:hAnsi="仿宋" w:eastAsia="仿宋" w:cs="仿宋_GB2312"/>
          <w:b/>
          <w:bCs/>
          <w:color w:val="auto"/>
          <w:sz w:val="28"/>
          <w:szCs w:val="28"/>
          <w:highlight w:val="none"/>
        </w:rPr>
        <w:t>详细评审表</w:t>
      </w:r>
    </w:p>
    <w:tbl>
      <w:tblPr>
        <w:tblStyle w:val="30"/>
        <w:tblW w:w="48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284"/>
        <w:gridCol w:w="743"/>
        <w:gridCol w:w="6176"/>
      </w:tblGrid>
      <w:tr w14:paraId="3173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1" w:type="pct"/>
            <w:vAlign w:val="center"/>
          </w:tcPr>
          <w:p w14:paraId="2BB17FB4">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序号</w:t>
            </w:r>
          </w:p>
        </w:tc>
        <w:tc>
          <w:tcPr>
            <w:tcW w:w="707" w:type="pct"/>
            <w:vAlign w:val="center"/>
          </w:tcPr>
          <w:p w14:paraId="537CEE23">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评分因素</w:t>
            </w:r>
          </w:p>
          <w:p w14:paraId="7AC89512">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及权重</w:t>
            </w:r>
          </w:p>
        </w:tc>
        <w:tc>
          <w:tcPr>
            <w:tcW w:w="409" w:type="pct"/>
            <w:vAlign w:val="center"/>
          </w:tcPr>
          <w:p w14:paraId="7C0BC401">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分值</w:t>
            </w:r>
          </w:p>
        </w:tc>
        <w:tc>
          <w:tcPr>
            <w:tcW w:w="3401" w:type="pct"/>
            <w:vAlign w:val="center"/>
          </w:tcPr>
          <w:p w14:paraId="6A6B4CED">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评分标准</w:t>
            </w:r>
          </w:p>
        </w:tc>
      </w:tr>
      <w:tr w14:paraId="2ADF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481" w:type="pct"/>
            <w:vAlign w:val="center"/>
          </w:tcPr>
          <w:p w14:paraId="271E4D7E">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w:t>
            </w:r>
          </w:p>
        </w:tc>
        <w:tc>
          <w:tcPr>
            <w:tcW w:w="707" w:type="pct"/>
            <w:vAlign w:val="center"/>
          </w:tcPr>
          <w:p w14:paraId="508FAD6B">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报价20%</w:t>
            </w:r>
          </w:p>
        </w:tc>
        <w:tc>
          <w:tcPr>
            <w:tcW w:w="409" w:type="pct"/>
            <w:vAlign w:val="center"/>
          </w:tcPr>
          <w:p w14:paraId="32FCC920">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20分</w:t>
            </w:r>
          </w:p>
        </w:tc>
        <w:tc>
          <w:tcPr>
            <w:tcW w:w="3401" w:type="pct"/>
            <w:vAlign w:val="center"/>
          </w:tcPr>
          <w:p w14:paraId="26BC8FA4">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满足</w:t>
            </w:r>
            <w:r>
              <w:rPr>
                <w:rFonts w:hint="eastAsia" w:ascii="仿宋" w:hAnsi="仿宋" w:eastAsia="仿宋" w:cs="仿宋_GB2312"/>
                <w:color w:val="auto"/>
                <w:sz w:val="21"/>
                <w:szCs w:val="21"/>
                <w:highlight w:val="none"/>
              </w:rPr>
              <w:t>比选</w:t>
            </w:r>
            <w:r>
              <w:rPr>
                <w:rFonts w:ascii="仿宋" w:hAnsi="仿宋" w:eastAsia="仿宋" w:cs="仿宋_GB2312"/>
                <w:color w:val="auto"/>
                <w:sz w:val="21"/>
                <w:szCs w:val="21"/>
                <w:highlight w:val="none"/>
              </w:rPr>
              <w:t>文件要求的基础代理费用、风险代理费用合计各参选人报价平均价得满分，每超过平均价5000元扣0.5分，不足5000元</w:t>
            </w:r>
            <w:r>
              <w:rPr>
                <w:rFonts w:hint="eastAsia" w:ascii="仿宋" w:hAnsi="仿宋" w:eastAsia="仿宋" w:cs="仿宋_GB2312"/>
                <w:color w:val="auto"/>
                <w:sz w:val="21"/>
                <w:szCs w:val="21"/>
                <w:highlight w:val="none"/>
              </w:rPr>
              <w:t>的部分</w:t>
            </w:r>
            <w:r>
              <w:rPr>
                <w:rFonts w:ascii="仿宋" w:hAnsi="仿宋" w:eastAsia="仿宋" w:cs="仿宋_GB2312"/>
                <w:color w:val="auto"/>
                <w:sz w:val="21"/>
                <w:szCs w:val="21"/>
                <w:highlight w:val="none"/>
              </w:rPr>
              <w:t>按5000元计算；每低于平均价5000元扣0.2分，不足5000元</w:t>
            </w:r>
            <w:r>
              <w:rPr>
                <w:rFonts w:hint="eastAsia" w:ascii="仿宋" w:hAnsi="仿宋" w:eastAsia="仿宋" w:cs="仿宋_GB2312"/>
                <w:color w:val="auto"/>
                <w:sz w:val="21"/>
                <w:szCs w:val="21"/>
                <w:highlight w:val="none"/>
              </w:rPr>
              <w:t>的部分</w:t>
            </w:r>
            <w:r>
              <w:rPr>
                <w:rFonts w:ascii="仿宋" w:hAnsi="仿宋" w:eastAsia="仿宋" w:cs="仿宋_GB2312"/>
                <w:color w:val="auto"/>
                <w:sz w:val="21"/>
                <w:szCs w:val="21"/>
                <w:highlight w:val="none"/>
              </w:rPr>
              <w:t>按5000元计算。</w:t>
            </w:r>
          </w:p>
        </w:tc>
      </w:tr>
      <w:tr w14:paraId="00DF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481" w:type="pct"/>
            <w:vAlign w:val="center"/>
          </w:tcPr>
          <w:p w14:paraId="55212A73">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w:t>
            </w:r>
          </w:p>
        </w:tc>
        <w:tc>
          <w:tcPr>
            <w:tcW w:w="707" w:type="pct"/>
            <w:vAlign w:val="center"/>
          </w:tcPr>
          <w:p w14:paraId="74665F55">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综合实力15%</w:t>
            </w:r>
          </w:p>
        </w:tc>
        <w:tc>
          <w:tcPr>
            <w:tcW w:w="409" w:type="pct"/>
            <w:vAlign w:val="center"/>
          </w:tcPr>
          <w:p w14:paraId="16642CC1">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15分</w:t>
            </w:r>
          </w:p>
        </w:tc>
        <w:tc>
          <w:tcPr>
            <w:tcW w:w="3401" w:type="pct"/>
            <w:vAlign w:val="center"/>
          </w:tcPr>
          <w:p w14:paraId="1C1598BF">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根据事务所成立年限进行评比打分。</w:t>
            </w:r>
          </w:p>
          <w:p w14:paraId="03918672">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事务所成立3年得6分，每增加1年加3分，总分不超过15分</w:t>
            </w:r>
            <w:r>
              <w:rPr>
                <w:rFonts w:hint="eastAsia" w:ascii="仿宋" w:hAnsi="仿宋" w:eastAsia="仿宋" w:cs="仿宋_GB2312"/>
                <w:color w:val="auto"/>
                <w:sz w:val="21"/>
                <w:szCs w:val="21"/>
                <w:highlight w:val="none"/>
              </w:rPr>
              <w:t>。</w:t>
            </w:r>
          </w:p>
        </w:tc>
      </w:tr>
      <w:tr w14:paraId="4FE0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481" w:type="pct"/>
            <w:vAlign w:val="center"/>
          </w:tcPr>
          <w:p w14:paraId="184855D9">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w:t>
            </w:r>
          </w:p>
        </w:tc>
        <w:tc>
          <w:tcPr>
            <w:tcW w:w="707" w:type="pct"/>
            <w:vAlign w:val="center"/>
          </w:tcPr>
          <w:p w14:paraId="2A121DF5">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人员配置20%</w:t>
            </w:r>
          </w:p>
        </w:tc>
        <w:tc>
          <w:tcPr>
            <w:tcW w:w="409" w:type="pct"/>
            <w:vAlign w:val="center"/>
          </w:tcPr>
          <w:p w14:paraId="141400DB">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20分</w:t>
            </w:r>
          </w:p>
        </w:tc>
        <w:tc>
          <w:tcPr>
            <w:tcW w:w="3401" w:type="pct"/>
            <w:vAlign w:val="center"/>
          </w:tcPr>
          <w:p w14:paraId="5E71A045">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1.为本项目配备的项目负责人执业5年得5分，每增加1年得1分，该项总分不超过10分。</w:t>
            </w:r>
          </w:p>
          <w:p w14:paraId="481E5CEE">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2.协办律师每增加1名增加5分，该项总分不超过10分（协办人员均应取得律师</w:t>
            </w:r>
            <w:r>
              <w:rPr>
                <w:rFonts w:hint="eastAsia" w:ascii="仿宋" w:hAnsi="仿宋" w:eastAsia="仿宋" w:cs="仿宋_GB2312"/>
                <w:color w:val="auto"/>
                <w:sz w:val="21"/>
                <w:szCs w:val="21"/>
                <w:highlight w:val="none"/>
              </w:rPr>
              <w:t>职</w:t>
            </w:r>
            <w:r>
              <w:rPr>
                <w:rFonts w:ascii="仿宋" w:hAnsi="仿宋" w:eastAsia="仿宋" w:cs="仿宋_GB2312"/>
                <w:color w:val="auto"/>
                <w:sz w:val="21"/>
                <w:szCs w:val="21"/>
                <w:highlight w:val="none"/>
              </w:rPr>
              <w:t>业资格证</w:t>
            </w:r>
            <w:r>
              <w:rPr>
                <w:rFonts w:hint="eastAsia" w:ascii="仿宋" w:hAnsi="仿宋" w:eastAsia="仿宋" w:cs="仿宋_GB2312"/>
                <w:color w:val="auto"/>
                <w:sz w:val="21"/>
                <w:szCs w:val="21"/>
                <w:highlight w:val="none"/>
              </w:rPr>
              <w:t>、律师执业证</w:t>
            </w:r>
            <w:r>
              <w:rPr>
                <w:rFonts w:ascii="仿宋" w:hAnsi="仿宋" w:eastAsia="仿宋" w:cs="仿宋_GB2312"/>
                <w:color w:val="auto"/>
                <w:sz w:val="21"/>
                <w:szCs w:val="21"/>
                <w:highlight w:val="none"/>
              </w:rPr>
              <w:t>且年检合格）。</w:t>
            </w:r>
          </w:p>
        </w:tc>
      </w:tr>
      <w:tr w14:paraId="4D08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5F9C2E6A">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w:t>
            </w:r>
          </w:p>
        </w:tc>
        <w:tc>
          <w:tcPr>
            <w:tcW w:w="707" w:type="pct"/>
            <w:tcBorders>
              <w:top w:val="single" w:color="auto" w:sz="4" w:space="0"/>
              <w:left w:val="single" w:color="auto" w:sz="4" w:space="0"/>
              <w:bottom w:val="single" w:color="auto" w:sz="4" w:space="0"/>
              <w:right w:val="single" w:color="auto" w:sz="4" w:space="0"/>
            </w:tcBorders>
            <w:vAlign w:val="center"/>
          </w:tcPr>
          <w:p w14:paraId="05AD8DA0">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服务方案35%</w:t>
            </w:r>
          </w:p>
        </w:tc>
        <w:tc>
          <w:tcPr>
            <w:tcW w:w="409" w:type="pct"/>
            <w:tcBorders>
              <w:top w:val="single" w:color="auto" w:sz="4" w:space="0"/>
              <w:left w:val="single" w:color="auto" w:sz="4" w:space="0"/>
              <w:bottom w:val="single" w:color="auto" w:sz="4" w:space="0"/>
              <w:right w:val="single" w:color="auto" w:sz="4" w:space="0"/>
            </w:tcBorders>
            <w:vAlign w:val="center"/>
          </w:tcPr>
          <w:p w14:paraId="6E1EE2ED">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35分</w:t>
            </w:r>
          </w:p>
        </w:tc>
        <w:tc>
          <w:tcPr>
            <w:tcW w:w="3401" w:type="pct"/>
            <w:tcBorders>
              <w:top w:val="single" w:color="auto" w:sz="4" w:space="0"/>
              <w:left w:val="single" w:color="auto" w:sz="4" w:space="0"/>
              <w:bottom w:val="single" w:color="auto" w:sz="4" w:space="0"/>
              <w:right w:val="single" w:color="auto" w:sz="4" w:space="0"/>
            </w:tcBorders>
            <w:vAlign w:val="center"/>
          </w:tcPr>
          <w:p w14:paraId="31F499F5">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提出针对本项目买卖纠纷类案件的诉讼方案，至少包含以下方面：</w:t>
            </w:r>
          </w:p>
          <w:p w14:paraId="0FC30939">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1.此类案件重点、难点阐述；</w:t>
            </w:r>
          </w:p>
          <w:p w14:paraId="4845928B">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2.此类案件的关键法律风险点分析；</w:t>
            </w:r>
          </w:p>
          <w:p w14:paraId="3013B93C">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3.此类案件中可能涉及的相关诉讼焦点、关键证据及关键因素，分析诉讼的突破口。</w:t>
            </w:r>
          </w:p>
          <w:p w14:paraId="7FB60B5C">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优：31-35分，良：21-30 分 一般：11-20分，</w:t>
            </w:r>
            <w:r>
              <w:rPr>
                <w:rFonts w:ascii="仿宋" w:hAnsi="仿宋" w:eastAsia="仿宋" w:cs="仿宋_GB2312"/>
                <w:color w:val="auto"/>
                <w:sz w:val="21"/>
                <w:szCs w:val="21"/>
                <w:highlight w:val="none"/>
                <w:lang w:eastAsia="zh-Hans"/>
              </w:rPr>
              <w:t>差：0-</w:t>
            </w:r>
            <w:r>
              <w:rPr>
                <w:rFonts w:ascii="仿宋" w:hAnsi="仿宋" w:eastAsia="仿宋" w:cs="仿宋_GB2312"/>
                <w:color w:val="auto"/>
                <w:sz w:val="21"/>
                <w:szCs w:val="21"/>
                <w:highlight w:val="none"/>
              </w:rPr>
              <w:t>10</w:t>
            </w:r>
            <w:r>
              <w:rPr>
                <w:rFonts w:ascii="仿宋" w:hAnsi="仿宋" w:eastAsia="仿宋" w:cs="仿宋_GB2312"/>
                <w:color w:val="auto"/>
                <w:sz w:val="21"/>
                <w:szCs w:val="21"/>
                <w:highlight w:val="none"/>
                <w:lang w:eastAsia="zh-Hans"/>
              </w:rPr>
              <w:t>分</w:t>
            </w:r>
            <w:r>
              <w:rPr>
                <w:rFonts w:ascii="仿宋" w:hAnsi="仿宋" w:eastAsia="仿宋" w:cs="仿宋_GB2312"/>
                <w:color w:val="auto"/>
                <w:sz w:val="21"/>
                <w:szCs w:val="21"/>
                <w:highlight w:val="none"/>
              </w:rPr>
              <w:t>（分数取整）</w:t>
            </w:r>
          </w:p>
          <w:p w14:paraId="05DEBD17">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（为在诉讼前保守商业秘密各比选人申请人可自行假设并阐述诉讼方案、策略）</w:t>
            </w:r>
          </w:p>
        </w:tc>
      </w:tr>
      <w:tr w14:paraId="3AA1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481" w:type="pct"/>
            <w:tcBorders>
              <w:top w:val="single" w:color="auto" w:sz="4" w:space="0"/>
              <w:left w:val="single" w:color="auto" w:sz="4" w:space="0"/>
              <w:bottom w:val="single" w:color="auto" w:sz="4" w:space="0"/>
              <w:right w:val="single" w:color="auto" w:sz="4" w:space="0"/>
            </w:tcBorders>
            <w:vAlign w:val="center"/>
          </w:tcPr>
          <w:p w14:paraId="64E55F35">
            <w:pPr>
              <w:spacing w:line="400" w:lineRule="exact"/>
              <w:ind w:firstLine="28"/>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w:t>
            </w:r>
          </w:p>
        </w:tc>
        <w:tc>
          <w:tcPr>
            <w:tcW w:w="707" w:type="pct"/>
            <w:tcBorders>
              <w:top w:val="single" w:color="auto" w:sz="4" w:space="0"/>
              <w:left w:val="single" w:color="auto" w:sz="4" w:space="0"/>
              <w:bottom w:val="single" w:color="auto" w:sz="4" w:space="0"/>
              <w:right w:val="single" w:color="auto" w:sz="4" w:space="0"/>
            </w:tcBorders>
            <w:vAlign w:val="center"/>
          </w:tcPr>
          <w:p w14:paraId="4E825164">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业绩10%</w:t>
            </w:r>
          </w:p>
        </w:tc>
        <w:tc>
          <w:tcPr>
            <w:tcW w:w="409" w:type="pct"/>
            <w:tcBorders>
              <w:top w:val="single" w:color="auto" w:sz="4" w:space="0"/>
              <w:left w:val="single" w:color="auto" w:sz="4" w:space="0"/>
              <w:bottom w:val="single" w:color="auto" w:sz="4" w:space="0"/>
              <w:right w:val="single" w:color="auto" w:sz="4" w:space="0"/>
            </w:tcBorders>
            <w:vAlign w:val="center"/>
          </w:tcPr>
          <w:p w14:paraId="78793AB2">
            <w:pPr>
              <w:spacing w:after="0" w:line="320" w:lineRule="exact"/>
              <w:jc w:val="center"/>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10分</w:t>
            </w:r>
          </w:p>
        </w:tc>
        <w:tc>
          <w:tcPr>
            <w:tcW w:w="3401" w:type="pct"/>
            <w:tcBorders>
              <w:top w:val="single" w:color="auto" w:sz="4" w:space="0"/>
              <w:left w:val="single" w:color="auto" w:sz="4" w:space="0"/>
              <w:bottom w:val="single" w:color="auto" w:sz="4" w:space="0"/>
              <w:right w:val="single" w:color="auto" w:sz="4" w:space="0"/>
            </w:tcBorders>
            <w:vAlign w:val="center"/>
          </w:tcPr>
          <w:p w14:paraId="5DCDC8E8">
            <w:pPr>
              <w:spacing w:after="0" w:line="320" w:lineRule="exact"/>
              <w:rPr>
                <w:rFonts w:ascii="仿宋" w:hAnsi="仿宋" w:eastAsia="仿宋" w:cs="仿宋_GB2312"/>
                <w:color w:val="auto"/>
                <w:sz w:val="21"/>
                <w:szCs w:val="21"/>
                <w:highlight w:val="none"/>
              </w:rPr>
            </w:pPr>
            <w:r>
              <w:rPr>
                <w:rFonts w:ascii="仿宋" w:hAnsi="仿宋" w:eastAsia="仿宋" w:cs="仿宋_GB2312"/>
                <w:color w:val="auto"/>
                <w:sz w:val="21"/>
                <w:szCs w:val="21"/>
                <w:highlight w:val="none"/>
              </w:rPr>
              <w:t>参选律师团队负责人、主办律师代理类似商事</w:t>
            </w:r>
            <w:r>
              <w:rPr>
                <w:rFonts w:hint="eastAsia" w:ascii="仿宋" w:hAnsi="仿宋" w:eastAsia="仿宋" w:cs="仿宋_GB2312"/>
                <w:color w:val="auto"/>
                <w:sz w:val="21"/>
                <w:szCs w:val="21"/>
                <w:highlight w:val="none"/>
              </w:rPr>
              <w:t>买卖</w:t>
            </w:r>
            <w:r>
              <w:rPr>
                <w:rFonts w:ascii="仿宋" w:hAnsi="仿宋" w:eastAsia="仿宋" w:cs="仿宋_GB2312"/>
                <w:color w:val="auto"/>
                <w:sz w:val="21"/>
                <w:szCs w:val="21"/>
                <w:highlight w:val="none"/>
              </w:rPr>
              <w:t>合同纠纷的诉讼案件，每提供一个得5分（提供代理合同或者判决书、裁定书、调解书等任一证明文件）</w:t>
            </w:r>
          </w:p>
        </w:tc>
      </w:tr>
    </w:tbl>
    <w:p w14:paraId="58C99C66">
      <w:pPr>
        <w:rPr>
          <w:rFonts w:ascii="仿宋" w:hAnsi="仿宋" w:eastAsia="仿宋" w:cs="Times New Roman"/>
          <w:b/>
          <w:color w:val="auto"/>
          <w:szCs w:val="21"/>
          <w:highlight w:val="none"/>
        </w:rPr>
      </w:pPr>
      <w:r>
        <w:rPr>
          <w:rFonts w:ascii="仿宋" w:hAnsi="仿宋" w:eastAsia="仿宋" w:cs="Times New Roman"/>
          <w:b/>
          <w:color w:val="auto"/>
          <w:szCs w:val="21"/>
          <w:highlight w:val="none"/>
        </w:rPr>
        <w:br w:type="page"/>
      </w:r>
    </w:p>
    <w:bookmarkEnd w:id="29"/>
    <w:bookmarkEnd w:id="30"/>
    <w:bookmarkEnd w:id="31"/>
    <w:p w14:paraId="4981CAFF">
      <w:pPr>
        <w:spacing w:after="0"/>
        <w:ind w:left="4321"/>
        <w:rPr>
          <w:rFonts w:ascii="仿宋" w:hAnsi="仿宋" w:eastAsia="仿宋" w:cs="Times New Roman"/>
          <w:color w:val="auto"/>
          <w:highlight w:val="none"/>
        </w:rPr>
      </w:pPr>
    </w:p>
    <w:p w14:paraId="2AEE6B1C">
      <w:pPr>
        <w:pStyle w:val="4"/>
        <w:spacing w:after="0" w:line="240" w:lineRule="auto"/>
        <w:ind w:left="0" w:right="0" w:firstLine="0"/>
        <w:rPr>
          <w:rFonts w:ascii="仿宋" w:hAnsi="仿宋" w:eastAsia="仿宋" w:cs="Times New Roman"/>
          <w:color w:val="auto"/>
          <w:szCs w:val="32"/>
          <w:highlight w:val="none"/>
        </w:rPr>
      </w:pPr>
      <w:bookmarkStart w:id="32" w:name="_Toc10424"/>
      <w:bookmarkStart w:id="33" w:name="_Toc15253"/>
      <w:bookmarkStart w:id="34" w:name="_Toc950"/>
      <w:bookmarkStart w:id="35" w:name="_Toc16485"/>
      <w:r>
        <w:rPr>
          <w:rFonts w:ascii="仿宋" w:hAnsi="仿宋" w:eastAsia="仿宋" w:cs="Times New Roman"/>
          <w:color w:val="auto"/>
          <w:szCs w:val="32"/>
          <w:highlight w:val="none"/>
        </w:rPr>
        <w:t>第四章 合同条款及格式</w:t>
      </w:r>
      <w:bookmarkEnd w:id="32"/>
      <w:bookmarkEnd w:id="33"/>
      <w:r>
        <w:rPr>
          <w:rFonts w:ascii="仿宋" w:hAnsi="仿宋" w:eastAsia="仿宋" w:cs="Times New Roman"/>
          <w:color w:val="auto"/>
          <w:szCs w:val="32"/>
          <w:highlight w:val="none"/>
        </w:rPr>
        <w:t xml:space="preserve"> </w:t>
      </w:r>
    </w:p>
    <w:p w14:paraId="5CCDD3BD">
      <w:pPr>
        <w:spacing w:line="240" w:lineRule="atLeast"/>
        <w:jc w:val="center"/>
        <w:rPr>
          <w:rFonts w:ascii="仿宋" w:hAnsi="仿宋" w:eastAsia="仿宋" w:cs="Times New Roman"/>
          <w:b/>
          <w:color w:val="auto"/>
          <w:spacing w:val="20"/>
          <w:sz w:val="36"/>
          <w:szCs w:val="36"/>
          <w:highlight w:val="none"/>
        </w:rPr>
      </w:pPr>
    </w:p>
    <w:p w14:paraId="1181B4B1">
      <w:pPr>
        <w:jc w:val="center"/>
        <w:rPr>
          <w:rFonts w:ascii="仿宋" w:hAnsi="仿宋" w:eastAsia="仿宋" w:cs="Times New Roman"/>
          <w:b/>
          <w:sz w:val="32"/>
          <w:szCs w:val="32"/>
          <w:highlight w:val="none"/>
        </w:rPr>
      </w:pPr>
      <w:r>
        <w:rPr>
          <w:rFonts w:ascii="仿宋" w:hAnsi="仿宋" w:eastAsia="仿宋" w:cs="Times New Roman"/>
          <w:b/>
          <w:sz w:val="32"/>
          <w:szCs w:val="32"/>
          <w:highlight w:val="none"/>
        </w:rPr>
        <w:t>委托代理合同</w:t>
      </w:r>
    </w:p>
    <w:p w14:paraId="2936040C">
      <w:pPr>
        <w:ind w:firstLine="6440" w:firstLineChars="23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合同编号：</w:t>
      </w:r>
    </w:p>
    <w:p w14:paraId="0A4D1369">
      <w:pPr>
        <w:rPr>
          <w:rFonts w:ascii="仿宋" w:hAnsi="仿宋" w:eastAsia="仿宋" w:cs="Times New Roman"/>
          <w:bCs/>
          <w:sz w:val="28"/>
          <w:szCs w:val="28"/>
          <w:highlight w:val="none"/>
        </w:rPr>
      </w:pPr>
    </w:p>
    <w:p w14:paraId="327155EA">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签订地点：成都市</w:t>
      </w:r>
    </w:p>
    <w:p w14:paraId="183B86F7">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签订时间：     年   月   </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日</w:t>
      </w:r>
    </w:p>
    <w:p w14:paraId="51EBA0DE">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甲方(委托人)：四川蜀物兴川物流发展有限公司</w:t>
      </w:r>
    </w:p>
    <w:p w14:paraId="0EAAFC75">
      <w:pPr>
        <w:spacing w:line="40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乙方（被委托人）：</w:t>
      </w:r>
    </w:p>
    <w:p w14:paraId="4A55CF6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根据《中华人民共和国民法典》及乙方的《</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文件》及《中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通知书》，甲、乙双方同意签订本合同。合同附件及本项目的</w:t>
      </w:r>
      <w:r>
        <w:rPr>
          <w:rFonts w:hint="eastAsia" w:ascii="仿宋" w:hAnsi="仿宋" w:eastAsia="仿宋" w:cs="Times New Roman"/>
          <w:color w:val="auto"/>
          <w:sz w:val="21"/>
          <w:szCs w:val="21"/>
          <w:highlight w:val="none"/>
        </w:rPr>
        <w:t>比选</w:t>
      </w:r>
      <w:r>
        <w:rPr>
          <w:rFonts w:ascii="仿宋" w:hAnsi="仿宋" w:eastAsia="仿宋" w:cs="Times New Roman"/>
          <w:color w:val="auto"/>
          <w:sz w:val="21"/>
          <w:szCs w:val="21"/>
          <w:highlight w:val="none"/>
        </w:rPr>
        <w:t>文件、</w:t>
      </w:r>
      <w:r>
        <w:rPr>
          <w:rFonts w:hint="eastAsia" w:ascii="仿宋" w:hAnsi="仿宋" w:eastAsia="仿宋" w:cs="Times New Roman"/>
          <w:color w:val="auto"/>
          <w:sz w:val="21"/>
          <w:szCs w:val="21"/>
          <w:highlight w:val="none"/>
        </w:rPr>
        <w:t>比选响应</w:t>
      </w:r>
      <w:r>
        <w:rPr>
          <w:rFonts w:ascii="仿宋" w:hAnsi="仿宋" w:eastAsia="仿宋" w:cs="Times New Roman"/>
          <w:color w:val="auto"/>
          <w:sz w:val="21"/>
          <w:szCs w:val="21"/>
          <w:highlight w:val="none"/>
        </w:rPr>
        <w:t>文件、《中</w:t>
      </w:r>
      <w:r>
        <w:rPr>
          <w:rFonts w:hint="eastAsia" w:ascii="仿宋" w:hAnsi="仿宋" w:eastAsia="仿宋" w:cs="Times New Roman"/>
          <w:color w:val="auto"/>
          <w:sz w:val="21"/>
          <w:szCs w:val="21"/>
          <w:highlight w:val="none"/>
        </w:rPr>
        <w:t>选</w:t>
      </w:r>
      <w:r>
        <w:rPr>
          <w:rFonts w:ascii="仿宋" w:hAnsi="仿宋" w:eastAsia="仿宋" w:cs="Times New Roman"/>
          <w:color w:val="auto"/>
          <w:sz w:val="21"/>
          <w:szCs w:val="21"/>
          <w:highlight w:val="none"/>
        </w:rPr>
        <w:t>通知书》等均为本合同不可分割的部分。双方同意共同遵守如下条款：</w:t>
      </w:r>
    </w:p>
    <w:p w14:paraId="10E4E49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一、服务事项</w:t>
      </w:r>
    </w:p>
    <w:p w14:paraId="6145FD3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甲方拟起诉某</w:t>
      </w:r>
      <w:r>
        <w:rPr>
          <w:rFonts w:hint="eastAsia" w:ascii="仿宋" w:hAnsi="仿宋" w:eastAsia="仿宋" w:cs="Times New Roman"/>
          <w:color w:val="auto"/>
          <w:sz w:val="21"/>
          <w:szCs w:val="21"/>
          <w:highlight w:val="none"/>
        </w:rPr>
        <w:t>国有</w:t>
      </w:r>
      <w:r>
        <w:rPr>
          <w:rFonts w:ascii="仿宋" w:hAnsi="仿宋" w:eastAsia="仿宋" w:cs="Times New Roman"/>
          <w:color w:val="auto"/>
          <w:sz w:val="21"/>
          <w:szCs w:val="21"/>
          <w:highlight w:val="none"/>
        </w:rPr>
        <w:t>企业，现乙方</w:t>
      </w:r>
      <w:r>
        <w:rPr>
          <w:rFonts w:hint="eastAsia" w:ascii="仿宋" w:hAnsi="仿宋" w:eastAsia="仿宋" w:cs="Times New Roman"/>
          <w:color w:val="auto"/>
          <w:sz w:val="21"/>
          <w:szCs w:val="21"/>
          <w:highlight w:val="none"/>
        </w:rPr>
        <w:t>提供</w:t>
      </w:r>
      <w:r>
        <w:rPr>
          <w:rFonts w:ascii="仿宋" w:hAnsi="仿宋" w:eastAsia="仿宋" w:cs="Times New Roman"/>
          <w:color w:val="auto"/>
          <w:sz w:val="21"/>
          <w:szCs w:val="21"/>
          <w:highlight w:val="none"/>
        </w:rPr>
        <w:t>如下</w:t>
      </w:r>
      <w:r>
        <w:rPr>
          <w:rFonts w:hint="eastAsia" w:ascii="仿宋" w:hAnsi="仿宋" w:eastAsia="仿宋" w:cs="Times New Roman"/>
          <w:color w:val="auto"/>
          <w:sz w:val="21"/>
          <w:szCs w:val="21"/>
          <w:highlight w:val="none"/>
        </w:rPr>
        <w:t>法律服务</w:t>
      </w:r>
      <w:r>
        <w:rPr>
          <w:rFonts w:ascii="仿宋" w:hAnsi="仿宋" w:eastAsia="仿宋" w:cs="Times New Roman"/>
          <w:color w:val="auto"/>
          <w:sz w:val="21"/>
          <w:szCs w:val="21"/>
          <w:highlight w:val="none"/>
        </w:rPr>
        <w:t>：</w:t>
      </w:r>
    </w:p>
    <w:p w14:paraId="7E3CF4E9">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全面分析案情，对相关事实与法律问题进行深入分析与研究；</w:t>
      </w:r>
    </w:p>
    <w:p w14:paraId="038C81D0">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梳理案件的证据资料，制定诉讼方案和策略；</w:t>
      </w:r>
    </w:p>
    <w:p w14:paraId="405CC315">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准备草拟</w:t>
      </w:r>
      <w:r>
        <w:rPr>
          <w:rFonts w:hint="eastAsia" w:ascii="仿宋" w:hAnsi="仿宋" w:eastAsia="仿宋" w:cs="Times New Roman"/>
          <w:color w:val="auto"/>
          <w:sz w:val="21"/>
          <w:szCs w:val="21"/>
          <w:highlight w:val="none"/>
        </w:rPr>
        <w:t>起诉状/答辩状</w:t>
      </w:r>
      <w:r>
        <w:rPr>
          <w:rFonts w:ascii="仿宋" w:hAnsi="仿宋" w:eastAsia="仿宋" w:cs="Times New Roman"/>
          <w:color w:val="auto"/>
          <w:sz w:val="21"/>
          <w:szCs w:val="21"/>
          <w:highlight w:val="none"/>
        </w:rPr>
        <w:t>、代理词、证据清单等法律文书；</w:t>
      </w:r>
    </w:p>
    <w:p w14:paraId="41B4D126">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代理与本案相关的一审、二审、再审（若有）</w:t>
      </w:r>
      <w:r>
        <w:rPr>
          <w:rFonts w:hint="eastAsia" w:ascii="仿宋" w:hAnsi="仿宋" w:eastAsia="仿宋" w:cs="Times New Roman"/>
          <w:color w:val="auto"/>
          <w:sz w:val="21"/>
          <w:szCs w:val="21"/>
          <w:highlight w:val="none"/>
        </w:rPr>
        <w:t>，</w:t>
      </w:r>
      <w:r>
        <w:rPr>
          <w:rFonts w:ascii="仿宋" w:hAnsi="仿宋" w:eastAsia="仿宋" w:cs="Times New Roman"/>
          <w:color w:val="auto"/>
          <w:sz w:val="21"/>
          <w:szCs w:val="21"/>
          <w:highlight w:val="none"/>
        </w:rPr>
        <w:t>含反诉；</w:t>
      </w:r>
    </w:p>
    <w:p w14:paraId="50C87472">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向法院递交相应的文书和资料、领取法院的相关法律文书；</w:t>
      </w:r>
    </w:p>
    <w:p w14:paraId="35282ADB">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受</w:t>
      </w:r>
      <w:r>
        <w:rPr>
          <w:rFonts w:hint="eastAsia" w:ascii="仿宋" w:hAnsi="仿宋" w:eastAsia="仿宋" w:cs="Times New Roman"/>
          <w:color w:val="auto"/>
          <w:sz w:val="21"/>
          <w:szCs w:val="21"/>
          <w:highlight w:val="none"/>
        </w:rPr>
        <w:t>甲方</w:t>
      </w:r>
      <w:r>
        <w:rPr>
          <w:rFonts w:ascii="仿宋" w:hAnsi="仿宋" w:eastAsia="仿宋" w:cs="Times New Roman"/>
          <w:color w:val="auto"/>
          <w:sz w:val="21"/>
          <w:szCs w:val="21"/>
          <w:highlight w:val="none"/>
        </w:rPr>
        <w:t>委托参加可能发生的诉讼程序、谈判、和解、调解活动，就调解、和解方案提出意见，并出具书面的法律意见书；</w:t>
      </w:r>
    </w:p>
    <w:p w14:paraId="6100ED8C">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提起上诉，拟定上诉状，参加应诉工作；</w:t>
      </w:r>
    </w:p>
    <w:p w14:paraId="7BA5F377">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在重要节点，以工作报告形式及时通报委托事项办理进展，征求意见；</w:t>
      </w:r>
    </w:p>
    <w:p w14:paraId="287A13BE">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代理案件执行工作；</w:t>
      </w:r>
    </w:p>
    <w:p w14:paraId="2B058C9D">
      <w:pPr>
        <w:numPr>
          <w:ilvl w:val="0"/>
          <w:numId w:val="1"/>
        </w:num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其他与案件相关的法律事务。</w:t>
      </w:r>
    </w:p>
    <w:p w14:paraId="3830FDB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二、</w:t>
      </w:r>
      <w:r>
        <w:rPr>
          <w:rFonts w:hint="eastAsia" w:ascii="仿宋" w:hAnsi="仿宋" w:eastAsia="仿宋" w:cs="Times New Roman"/>
          <w:color w:val="auto"/>
          <w:sz w:val="21"/>
          <w:szCs w:val="21"/>
          <w:highlight w:val="none"/>
        </w:rPr>
        <w:t>服务</w:t>
      </w:r>
      <w:r>
        <w:rPr>
          <w:rFonts w:ascii="仿宋" w:hAnsi="仿宋" w:eastAsia="仿宋" w:cs="Times New Roman"/>
          <w:color w:val="auto"/>
          <w:sz w:val="21"/>
          <w:szCs w:val="21"/>
          <w:highlight w:val="none"/>
        </w:rPr>
        <w:t>期限</w:t>
      </w:r>
    </w:p>
    <w:p w14:paraId="4CF89AB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自合同签订之日起至甲方债权全部实现为止。</w:t>
      </w:r>
    </w:p>
    <w:p w14:paraId="184C680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三、服务团队与服务要求</w:t>
      </w:r>
    </w:p>
    <w:p w14:paraId="2556455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被委托人指派【】为甲方服务，【】是本项目主办律师，并指派【】等律师作为本项目协办律师。诉讼每次庭审全程由主办律师本人出庭，主办律师必须参与服务全过程；非经委托人书面同意，被委托人不得擅自变更主办律师。</w:t>
      </w:r>
    </w:p>
    <w:p w14:paraId="58BE602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1.指派的律师服务团队在提供服务过程中应当及时向委托人、相关部门和单位调取案件所必需的证据；</w:t>
      </w:r>
    </w:p>
    <w:p w14:paraId="43E69CAB">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2.指派的律师团队在提供服务过程中需制定相应的诉讼策略和诉讼方案，如：诉讼代理方案中案件概况、代理思路、案件重点、难点、风险点、应诉策略、进度安排、组织措施等；</w:t>
      </w:r>
    </w:p>
    <w:p w14:paraId="7FA34BD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3.指派的律师团队在代为诉讼的同时应甲方的要求需协助甲方妥善处理与诉讼相关纠纷；</w:t>
      </w:r>
    </w:p>
    <w:p w14:paraId="34E04E9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4.指派的律师团队应当以其依据法律作出的专业判断，向甲方进行法律风险提示，尽最大努力维护甲方的合法利益；</w:t>
      </w:r>
    </w:p>
    <w:p w14:paraId="42D1429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5.代理期间，将拟定的包括但不限于代理方案、证据目录、质证意见、代理意见等交甲方审阅。</w:t>
      </w:r>
    </w:p>
    <w:p w14:paraId="004F1E0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6.被委托人应当根据审判机关的要求，及时提交证据，按时参加审理活动并应及时向委托人通报案件进展情况。</w:t>
      </w:r>
    </w:p>
    <w:p w14:paraId="45C0EB4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7.指派的律师团队对委托办理的案件应当独立建档，并保存完整的工作记录，对涉及甲方的原始证据、法律文件和财物应当妥善保管；</w:t>
      </w:r>
    </w:p>
    <w:p w14:paraId="21A6967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8.指派的律师团队应当保守其在接受委托人委托代理案件过程中知悉的国家秘密、商业秘密、个人隐私，以及委托人明确表示不能对外公开的信息。</w:t>
      </w:r>
    </w:p>
    <w:p w14:paraId="08EADBD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四、服务费用及支付方式</w:t>
      </w:r>
    </w:p>
    <w:p w14:paraId="335159A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1.基础代理费：</w:t>
      </w:r>
      <w:r>
        <w:rPr>
          <w:rFonts w:hint="eastAsia" w:ascii="仿宋" w:hAnsi="仿宋" w:eastAsia="仿宋" w:cs="Times New Roman"/>
          <w:color w:val="auto"/>
          <w:sz w:val="21"/>
          <w:szCs w:val="21"/>
          <w:highlight w:val="none"/>
          <w:lang w:val="en-US" w:eastAsia="zh-CN"/>
        </w:rPr>
        <w:t>本项目基础代理费</w:t>
      </w:r>
      <w:r>
        <w:rPr>
          <w:rFonts w:ascii="仿宋" w:hAnsi="仿宋" w:eastAsia="仿宋" w:cs="Times New Roman"/>
          <w:color w:val="auto"/>
          <w:sz w:val="21"/>
          <w:szCs w:val="21"/>
          <w:highlight w:val="none"/>
        </w:rPr>
        <w:t>为【】万元。</w:t>
      </w:r>
      <w:r>
        <w:rPr>
          <w:rFonts w:hint="eastAsia" w:ascii="仿宋" w:hAnsi="仿宋" w:eastAsia="仿宋" w:cs="Times New Roman"/>
          <w:color w:val="auto"/>
          <w:sz w:val="21"/>
          <w:szCs w:val="21"/>
          <w:highlight w:val="none"/>
          <w:lang w:val="en-US" w:eastAsia="zh-CN"/>
        </w:rPr>
        <w:t>其中，案件1基础代理费为【】万元，案件2基础代理费为【】万元。</w:t>
      </w:r>
      <w:r>
        <w:rPr>
          <w:rFonts w:ascii="仿宋" w:hAnsi="仿宋" w:eastAsia="仿宋" w:cs="Times New Roman"/>
          <w:color w:val="auto"/>
          <w:sz w:val="21"/>
          <w:szCs w:val="21"/>
          <w:highlight w:val="none"/>
        </w:rPr>
        <w:t>甲方在</w:t>
      </w:r>
      <w:r>
        <w:rPr>
          <w:rFonts w:hint="eastAsia" w:ascii="仿宋" w:hAnsi="仿宋" w:eastAsia="仿宋" w:cs="Times New Roman"/>
          <w:color w:val="auto"/>
          <w:sz w:val="21"/>
          <w:szCs w:val="21"/>
          <w:highlight w:val="none"/>
          <w:lang w:val="en-US" w:eastAsia="zh-CN"/>
        </w:rPr>
        <w:t>收到法院立案通知书（先行调解书）</w:t>
      </w:r>
      <w:r>
        <w:rPr>
          <w:rFonts w:ascii="仿宋" w:hAnsi="仿宋" w:eastAsia="仿宋" w:cs="Times New Roman"/>
          <w:color w:val="auto"/>
          <w:sz w:val="21"/>
          <w:szCs w:val="21"/>
          <w:highlight w:val="none"/>
        </w:rPr>
        <w:t>且收到乙方全额增值税专用发票后15日内支付全部基础代理费用。</w:t>
      </w:r>
    </w:p>
    <w:p w14:paraId="2806A379">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2.风险代理费：</w:t>
      </w:r>
    </w:p>
    <w:p w14:paraId="52EA2B0C">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lang w:val="en-US" w:eastAsia="zh-CN"/>
        </w:rPr>
        <w:t>①案件1：</w:t>
      </w:r>
      <w:r>
        <w:rPr>
          <w:rFonts w:ascii="仿宋" w:hAnsi="仿宋" w:eastAsia="仿宋" w:cs="Times New Roman"/>
          <w:color w:val="auto"/>
          <w:sz w:val="21"/>
          <w:szCs w:val="21"/>
          <w:highlight w:val="none"/>
        </w:rPr>
        <w:t>以甲方实际收到本项目款项的【】%计算风险代理费；风险代理费支付时间：甲方实际收到</w:t>
      </w:r>
      <w:r>
        <w:rPr>
          <w:rFonts w:hint="eastAsia" w:ascii="仿宋" w:hAnsi="仿宋" w:eastAsia="仿宋" w:cs="Times New Roman"/>
          <w:color w:val="auto"/>
          <w:sz w:val="21"/>
          <w:szCs w:val="21"/>
          <w:highlight w:val="none"/>
          <w:lang w:val="en-US" w:eastAsia="zh-CN"/>
        </w:rPr>
        <w:t>对应的</w:t>
      </w:r>
      <w:r>
        <w:rPr>
          <w:rFonts w:ascii="仿宋" w:hAnsi="仿宋" w:eastAsia="仿宋" w:cs="Times New Roman"/>
          <w:color w:val="auto"/>
          <w:sz w:val="21"/>
          <w:szCs w:val="21"/>
          <w:highlight w:val="none"/>
        </w:rPr>
        <w:t>被告支付的款项并经甲方确认后，甲方收到乙方开具正式的发票后【15】个工作日内支付风险代理费。</w:t>
      </w:r>
    </w:p>
    <w:p w14:paraId="219867B8">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lang w:val="en-US" w:eastAsia="zh-CN"/>
        </w:rPr>
        <w:t>②案件2：</w:t>
      </w:r>
      <w:r>
        <w:rPr>
          <w:rFonts w:ascii="仿宋" w:hAnsi="仿宋" w:eastAsia="仿宋" w:cs="Times New Roman"/>
          <w:color w:val="auto"/>
          <w:sz w:val="21"/>
          <w:szCs w:val="21"/>
          <w:highlight w:val="none"/>
        </w:rPr>
        <w:t>以甲方实际收到本项目款项的【】%计算风险代理费；风险代理费支付时间：甲方实际收到</w:t>
      </w:r>
      <w:r>
        <w:rPr>
          <w:rFonts w:hint="eastAsia" w:ascii="仿宋" w:hAnsi="仿宋" w:eastAsia="仿宋" w:cs="Times New Roman"/>
          <w:color w:val="auto"/>
          <w:sz w:val="21"/>
          <w:szCs w:val="21"/>
          <w:highlight w:val="none"/>
          <w:lang w:val="en-US" w:eastAsia="zh-CN"/>
        </w:rPr>
        <w:t>对应的</w:t>
      </w:r>
      <w:r>
        <w:rPr>
          <w:rFonts w:ascii="仿宋" w:hAnsi="仿宋" w:eastAsia="仿宋" w:cs="Times New Roman"/>
          <w:color w:val="auto"/>
          <w:sz w:val="21"/>
          <w:szCs w:val="21"/>
          <w:highlight w:val="none"/>
        </w:rPr>
        <w:t>被告支付的款项并经甲方确认后，甲方收到乙方开具正式的发票后【15】个工作日内支付风险代理费。</w:t>
      </w:r>
    </w:p>
    <w:p w14:paraId="7FE996B1">
      <w:pPr>
        <w:spacing w:line="400" w:lineRule="exact"/>
        <w:ind w:firstLine="420" w:firstLineChars="200"/>
        <w:rPr>
          <w:rFonts w:hint="eastAsia" w:ascii="仿宋" w:hAnsi="仿宋" w:eastAsia="仿宋" w:cs="Times New Roman"/>
          <w:color w:val="auto"/>
          <w:sz w:val="21"/>
          <w:szCs w:val="21"/>
          <w:highlight w:val="none"/>
          <w:lang w:eastAsia="zh-CN"/>
        </w:rPr>
      </w:pPr>
      <w:r>
        <w:rPr>
          <w:rFonts w:ascii="仿宋" w:hAnsi="仿宋" w:eastAsia="仿宋" w:cs="Times New Roman"/>
          <w:color w:val="auto"/>
          <w:sz w:val="21"/>
          <w:szCs w:val="21"/>
          <w:highlight w:val="none"/>
        </w:rPr>
        <w:t>3.本项目所涉服务费用总额限价【】万元，</w:t>
      </w:r>
      <w:r>
        <w:rPr>
          <w:rFonts w:hint="eastAsia" w:ascii="仿宋" w:hAnsi="仿宋" w:eastAsia="仿宋" w:cs="Times New Roman"/>
          <w:color w:val="auto"/>
          <w:sz w:val="21"/>
          <w:szCs w:val="21"/>
          <w:highlight w:val="none"/>
          <w:lang w:val="en-US" w:eastAsia="zh-CN"/>
        </w:rPr>
        <w:t>此价格</w:t>
      </w:r>
      <w:r>
        <w:rPr>
          <w:rFonts w:hint="eastAsia" w:ascii="仿宋" w:hAnsi="仿宋" w:eastAsia="仿宋" w:cs="Times New Roman"/>
          <w:color w:val="auto"/>
          <w:sz w:val="21"/>
          <w:szCs w:val="21"/>
          <w:highlight w:val="none"/>
        </w:rPr>
        <w:t>包括所有诉讼程序中的代理费、差旅费、利润、风险、税金等完成本项目所有费用</w:t>
      </w:r>
      <w:r>
        <w:rPr>
          <w:rFonts w:hint="eastAsia" w:ascii="仿宋" w:hAnsi="仿宋" w:eastAsia="仿宋" w:cs="Times New Roman"/>
          <w:color w:val="auto"/>
          <w:sz w:val="21"/>
          <w:szCs w:val="21"/>
          <w:highlight w:val="none"/>
          <w:lang w:eastAsia="zh-CN"/>
        </w:rPr>
        <w:t>。</w:t>
      </w:r>
    </w:p>
    <w:p w14:paraId="7C82461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无论按照前述第1、2项计算的代理费金额是多少，乙方承诺放弃超过【】万元的部分。</w:t>
      </w:r>
    </w:p>
    <w:p w14:paraId="24860DEA">
      <w:pPr>
        <w:spacing w:line="400" w:lineRule="exact"/>
        <w:ind w:firstLine="420" w:firstLineChars="200"/>
        <w:rPr>
          <w:rFonts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4</w:t>
      </w:r>
      <w:r>
        <w:rPr>
          <w:rFonts w:ascii="仿宋" w:hAnsi="仿宋" w:eastAsia="仿宋" w:cs="Times New Roman"/>
          <w:color w:val="auto"/>
          <w:sz w:val="21"/>
          <w:szCs w:val="21"/>
          <w:highlight w:val="none"/>
        </w:rPr>
        <w:t>.乙方收款账户信息：</w:t>
      </w:r>
    </w:p>
    <w:p w14:paraId="088E425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账户名称：</w:t>
      </w:r>
    </w:p>
    <w:p w14:paraId="1A036DB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开户行：</w:t>
      </w:r>
    </w:p>
    <w:p w14:paraId="4A4D936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账号：</w:t>
      </w:r>
    </w:p>
    <w:p w14:paraId="006DD9F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行号：</w:t>
      </w:r>
    </w:p>
    <w:p w14:paraId="288690C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五、知识产权</w:t>
      </w:r>
    </w:p>
    <w:p w14:paraId="2AECFF8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乙方应保证所提供的服务或其任何一部分均不会侵犯任何第三方的专利权、商标权或著作权。</w:t>
      </w:r>
    </w:p>
    <w:p w14:paraId="6487B22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六、甲方的权利和义务</w:t>
      </w:r>
    </w:p>
    <w:p w14:paraId="0355F7F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1.甲方有权向乙方了解案件进展情况和结果。</w:t>
      </w:r>
    </w:p>
    <w:p w14:paraId="62EFF6C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全面、客观、真实地向乙方介绍案件情况，及时向乙方提供与案件有关的文件（复印件），并保证其真实、合法。（注：证据原件由甲方自行保存，若确需交原件与承办律师，双方应办理各方签名的证据交接清单）</w:t>
      </w:r>
    </w:p>
    <w:p w14:paraId="5F1CD607">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3.根据本合同规定，按时向乙方支付应付服务费用。</w:t>
      </w:r>
    </w:p>
    <w:p w14:paraId="0321C69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4.国家法律、法规所规定由甲方承担的其他责任。</w:t>
      </w:r>
    </w:p>
    <w:p w14:paraId="64B1B69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七、乙方的权利和义务</w:t>
      </w:r>
    </w:p>
    <w:p w14:paraId="11C51099">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1.对本合同规定的委托服务范围内的事项享有管理权及服务义务。</w:t>
      </w:r>
    </w:p>
    <w:p w14:paraId="478BDF3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2.根据本合同的规定向甲方收取相关服务费用。</w:t>
      </w:r>
    </w:p>
    <w:p w14:paraId="262B637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3.乙方律师工作上勤勉尽职，恪守律师职业道德和执业纪律，办案中严格遵循《律师办理民事诉讼案件规范》的规定。</w:t>
      </w:r>
    </w:p>
    <w:p w14:paraId="4215BF71">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4.乙方律师应当以其依据法律作出的判断，向甲方进行法律风险提示；及时提交证据，按时出庭，应甲方要求通报案件进展情况。</w:t>
      </w:r>
    </w:p>
    <w:p w14:paraId="1508564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5.国家法律、法规所规定由乙方承担的其他责任。</w:t>
      </w:r>
    </w:p>
    <w:p w14:paraId="249C2406">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八、违约责任</w:t>
      </w:r>
    </w:p>
    <w:p w14:paraId="34D57E49">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1.双方必须遵守本合同并执行合同中的各项规定，保证本合同的正常履行。</w:t>
      </w:r>
    </w:p>
    <w:p w14:paraId="534B491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962D10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九、不可抗力事件处理</w:t>
      </w:r>
    </w:p>
    <w:p w14:paraId="1C892909">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1.在合同有效期内，任何一方因不可抗力事件导致不能履行合同，则合同履行期可延长，其延长期与不可抗力影响期相同。</w:t>
      </w:r>
    </w:p>
    <w:p w14:paraId="4D991C1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2.不可抗力事件发生后，应立即通知对方，并寄送有关权威机构出具的证明。</w:t>
      </w:r>
    </w:p>
    <w:p w14:paraId="3BA3A24D">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3.不可抗力事件延续120天以上，双方应通过友好协商，确定是否继续履行合同。</w:t>
      </w:r>
    </w:p>
    <w:p w14:paraId="1045423F">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十、解决合同纠纷的方式</w:t>
      </w:r>
    </w:p>
    <w:p w14:paraId="4D02BDE0">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在执行本合同中发生的或与本合同有关的争端，双方应通过友好协商解决，协商不成，向甲方所在地法院提起诉讼。</w:t>
      </w:r>
    </w:p>
    <w:p w14:paraId="1DF4FAC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十一、合同生效</w:t>
      </w:r>
    </w:p>
    <w:p w14:paraId="6E64524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1.合同经双方法定代表人或授权委托代理人签字并加盖单位公章后生效。</w:t>
      </w:r>
    </w:p>
    <w:p w14:paraId="53510AD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2.合同执行中涉及合同金额和服务内容修改或补充的，须签订书面补充协议方可作为主合同不可分割的一部分。</w:t>
      </w:r>
    </w:p>
    <w:p w14:paraId="48DC75FE">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十二、其他</w:t>
      </w:r>
    </w:p>
    <w:p w14:paraId="41782942">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1.如有未尽事宜，由双方依法订立补充合同。</w:t>
      </w:r>
    </w:p>
    <w:p w14:paraId="3E14B8A5">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2.本合同一式4份，自双方签章之日起生效。甲方2份，乙方2份，具有同等法律效力。（以下无正文）</w:t>
      </w:r>
    </w:p>
    <w:p w14:paraId="3C95F1E6">
      <w:pPr>
        <w:ind w:left="4200" w:hanging="4200" w:hangingChars="2000"/>
        <w:rPr>
          <w:rFonts w:ascii="仿宋" w:hAnsi="仿宋" w:eastAsia="仿宋" w:cs="Times New Roman"/>
          <w:bCs/>
          <w:sz w:val="21"/>
          <w:szCs w:val="21"/>
          <w:highlight w:val="none"/>
        </w:rPr>
      </w:pPr>
    </w:p>
    <w:p w14:paraId="380342A8">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甲方（委托人）：                  乙方（被委托人）：</w:t>
      </w:r>
    </w:p>
    <w:p w14:paraId="2E12D1C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法定代表人（授权代表）：          法定代表人（授权代表）：</w:t>
      </w:r>
    </w:p>
    <w:p w14:paraId="600E447A">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地 址：                           地 址：</w:t>
      </w:r>
    </w:p>
    <w:p w14:paraId="69D267DF">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开户银行：                        开户银行：</w:t>
      </w:r>
    </w:p>
    <w:p w14:paraId="22C4B9C4">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账 号：                           账 号：</w:t>
      </w:r>
    </w:p>
    <w:p w14:paraId="066F2E8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                           电 话：</w:t>
      </w:r>
    </w:p>
    <w:p w14:paraId="250F9C1C">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传 真：                           传 真：</w:t>
      </w:r>
    </w:p>
    <w:p w14:paraId="41E3ABB3">
      <w:pPr>
        <w:spacing w:line="400" w:lineRule="exact"/>
        <w:ind w:firstLine="420" w:firstLineChars="200"/>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签约日期：    年  月  日          签约日期：    年  月  日</w:t>
      </w:r>
    </w:p>
    <w:p w14:paraId="6775BB78">
      <w:pPr>
        <w:spacing w:after="0" w:line="360" w:lineRule="auto"/>
        <w:ind w:firstLine="420" w:firstLineChars="200"/>
        <w:rPr>
          <w:rFonts w:ascii="仿宋" w:hAnsi="仿宋" w:eastAsia="仿宋" w:cs="Times New Roman"/>
          <w:color w:val="auto"/>
          <w:sz w:val="21"/>
          <w:szCs w:val="21"/>
          <w:highlight w:val="none"/>
        </w:rPr>
      </w:pPr>
    </w:p>
    <w:p w14:paraId="1D78AC0E">
      <w:pPr>
        <w:pStyle w:val="4"/>
        <w:spacing w:after="0" w:line="240" w:lineRule="auto"/>
        <w:ind w:left="0" w:right="0" w:firstLine="0"/>
        <w:rPr>
          <w:rFonts w:ascii="仿宋" w:hAnsi="仿宋" w:eastAsia="仿宋" w:cs="Times New Roman"/>
          <w:color w:val="auto"/>
          <w:szCs w:val="32"/>
          <w:highlight w:val="none"/>
        </w:rPr>
      </w:pPr>
      <w:r>
        <w:rPr>
          <w:rFonts w:ascii="仿宋" w:hAnsi="仿宋" w:eastAsia="仿宋" w:cs="Times New Roman"/>
          <w:color w:val="auto"/>
          <w:szCs w:val="32"/>
          <w:highlight w:val="none"/>
        </w:rPr>
        <w:t>第五章</w:t>
      </w:r>
      <w:r>
        <w:rPr>
          <w:rFonts w:hint="eastAsia" w:ascii="仿宋" w:hAnsi="仿宋" w:eastAsia="仿宋" w:cs="Times New Roman"/>
          <w:color w:val="auto"/>
          <w:szCs w:val="32"/>
          <w:highlight w:val="none"/>
        </w:rPr>
        <w:t xml:space="preserve">  </w:t>
      </w:r>
      <w:r>
        <w:rPr>
          <w:rFonts w:ascii="仿宋" w:hAnsi="仿宋" w:eastAsia="仿宋" w:cs="Times New Roman"/>
          <w:color w:val="auto"/>
          <w:szCs w:val="32"/>
          <w:highlight w:val="none"/>
        </w:rPr>
        <w:t xml:space="preserve"> 比选响应文件格式</w:t>
      </w:r>
      <w:bookmarkEnd w:id="34"/>
      <w:bookmarkEnd w:id="35"/>
      <w:r>
        <w:rPr>
          <w:rFonts w:ascii="仿宋" w:hAnsi="仿宋" w:eastAsia="仿宋" w:cs="Times New Roman"/>
          <w:color w:val="auto"/>
          <w:szCs w:val="32"/>
          <w:highlight w:val="none"/>
        </w:rPr>
        <w:t xml:space="preserve"> </w:t>
      </w:r>
    </w:p>
    <w:p w14:paraId="396D6556">
      <w:pPr>
        <w:spacing w:after="0" w:line="640" w:lineRule="exact"/>
        <w:ind w:firstLine="883"/>
        <w:jc w:val="center"/>
        <w:rPr>
          <w:rFonts w:ascii="仿宋" w:hAnsi="仿宋" w:eastAsia="仿宋" w:cs="Times New Roman"/>
          <w:b/>
          <w:color w:val="auto"/>
          <w:kern w:val="0"/>
          <w:sz w:val="44"/>
          <w:szCs w:val="28"/>
          <w:highlight w:val="none"/>
        </w:rPr>
      </w:pPr>
    </w:p>
    <w:p w14:paraId="34D55C53">
      <w:pPr>
        <w:spacing w:after="0" w:line="640" w:lineRule="exact"/>
        <w:jc w:val="center"/>
        <w:rPr>
          <w:rFonts w:hint="eastAsia" w:ascii="方正小标宋简体" w:hAnsi="方正小标宋简体" w:eastAsia="方正小标宋简体" w:cs="方正小标宋简体"/>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四川蜀物兴川物流发展有限公司</w:t>
      </w:r>
    </w:p>
    <w:p w14:paraId="57287446">
      <w:pPr>
        <w:spacing w:after="0" w:line="640" w:lineRule="exact"/>
        <w:jc w:val="center"/>
        <w:rPr>
          <w:rFonts w:ascii="仿宋" w:hAnsi="仿宋" w:eastAsia="仿宋" w:cs="Times New Roman"/>
          <w:bCs/>
          <w:color w:val="auto"/>
          <w:kern w:val="0"/>
          <w:sz w:val="44"/>
          <w:szCs w:val="28"/>
          <w:highlight w:val="none"/>
        </w:rPr>
      </w:pPr>
      <w:r>
        <w:rPr>
          <w:rFonts w:hint="eastAsia" w:ascii="方正小标宋简体" w:hAnsi="方正小标宋简体" w:eastAsia="方正小标宋简体" w:cs="方正小标宋简体"/>
          <w:bCs/>
          <w:color w:val="auto"/>
          <w:kern w:val="0"/>
          <w:sz w:val="44"/>
          <w:szCs w:val="28"/>
          <w:highlight w:val="none"/>
        </w:rPr>
        <w:t>关于</w:t>
      </w:r>
      <w:r>
        <w:rPr>
          <w:rFonts w:hint="eastAsia" w:ascii="方正小标宋简体" w:hAnsi="方正小标宋简体" w:eastAsia="方正小标宋简体" w:cs="方正小标宋简体"/>
          <w:b w:val="0"/>
          <w:bCs w:val="0"/>
          <w:w w:val="100"/>
          <w:sz w:val="44"/>
          <w:szCs w:val="44"/>
          <w:highlight w:val="none"/>
          <w:lang w:val="en-US" w:eastAsia="zh-CN"/>
        </w:rPr>
        <w:t>与江苏某2家国有企业买卖合同纠纷法律服务</w:t>
      </w:r>
      <w:r>
        <w:rPr>
          <w:rFonts w:hint="eastAsia" w:ascii="方正小标宋简体" w:hAnsi="方正小标宋简体" w:eastAsia="方正小标宋简体" w:cs="方正小标宋简体"/>
          <w:bCs/>
          <w:color w:val="auto"/>
          <w:kern w:val="0"/>
          <w:sz w:val="44"/>
          <w:szCs w:val="28"/>
          <w:highlight w:val="none"/>
        </w:rPr>
        <w:t>项目</w:t>
      </w:r>
    </w:p>
    <w:p w14:paraId="460189F4">
      <w:pPr>
        <w:adjustRightInd w:val="0"/>
        <w:snapToGrid w:val="0"/>
        <w:spacing w:after="0" w:line="360" w:lineRule="auto"/>
        <w:jc w:val="center"/>
        <w:rPr>
          <w:rFonts w:ascii="仿宋" w:hAnsi="仿宋" w:eastAsia="仿宋" w:cs="Times New Roman"/>
          <w:color w:val="auto"/>
          <w:kern w:val="0"/>
          <w:sz w:val="52"/>
          <w:szCs w:val="28"/>
          <w:highlight w:val="none"/>
        </w:rPr>
      </w:pPr>
    </w:p>
    <w:p w14:paraId="684EE19B">
      <w:pPr>
        <w:rPr>
          <w:highlight w:val="none"/>
        </w:rPr>
      </w:pPr>
    </w:p>
    <w:p w14:paraId="0097FD9E">
      <w:pPr>
        <w:rPr>
          <w:highlight w:val="none"/>
        </w:rPr>
      </w:pPr>
    </w:p>
    <w:p w14:paraId="44163E64">
      <w:pPr>
        <w:adjustRightInd w:val="0"/>
        <w:snapToGrid w:val="0"/>
        <w:spacing w:after="0" w:line="360" w:lineRule="auto"/>
        <w:jc w:val="center"/>
        <w:rPr>
          <w:rFonts w:hint="eastAsia" w:ascii="方正小标宋简体" w:hAnsi="方正小标宋简体" w:eastAsia="方正小标宋简体" w:cs="方正小标宋简体"/>
          <w:color w:val="auto"/>
          <w:kern w:val="0"/>
          <w:sz w:val="52"/>
          <w:szCs w:val="28"/>
          <w:highlight w:val="none"/>
        </w:rPr>
      </w:pPr>
      <w:r>
        <w:rPr>
          <w:rFonts w:hint="eastAsia" w:ascii="方正小标宋简体" w:hAnsi="方正小标宋简体" w:eastAsia="方正小标宋简体" w:cs="方正小标宋简体"/>
          <w:color w:val="auto"/>
          <w:kern w:val="0"/>
          <w:sz w:val="52"/>
          <w:szCs w:val="28"/>
          <w:highlight w:val="none"/>
        </w:rPr>
        <w:t>比选响应文件</w:t>
      </w:r>
    </w:p>
    <w:p w14:paraId="2464599F">
      <w:pPr>
        <w:widowControl w:val="0"/>
        <w:spacing w:after="0" w:line="360" w:lineRule="auto"/>
        <w:ind w:right="823" w:rightChars="374"/>
        <w:jc w:val="center"/>
        <w:rPr>
          <w:rFonts w:ascii="仿宋" w:hAnsi="仿宋" w:eastAsia="仿宋" w:cs="Times New Roman"/>
          <w:color w:val="auto"/>
          <w:kern w:val="0"/>
          <w:sz w:val="28"/>
          <w:szCs w:val="28"/>
          <w:highlight w:val="none"/>
          <w:u w:val="single"/>
        </w:rPr>
      </w:pPr>
      <w:r>
        <w:rPr>
          <w:rFonts w:ascii="仿宋" w:hAnsi="仿宋" w:eastAsia="仿宋" w:cs="Times New Roman"/>
          <w:color w:val="auto"/>
          <w:kern w:val="0"/>
          <w:sz w:val="28"/>
          <w:szCs w:val="28"/>
          <w:highlight w:val="none"/>
          <w:u w:val="single"/>
        </w:rPr>
        <w:t xml:space="preserve">       </w:t>
      </w:r>
    </w:p>
    <w:p w14:paraId="38CEF3B1">
      <w:pPr>
        <w:widowControl w:val="0"/>
        <w:spacing w:after="0" w:line="360" w:lineRule="auto"/>
        <w:jc w:val="center"/>
        <w:rPr>
          <w:rFonts w:ascii="仿宋" w:hAnsi="仿宋" w:eastAsia="仿宋" w:cs="Times New Roman"/>
          <w:color w:val="auto"/>
          <w:sz w:val="44"/>
          <w:szCs w:val="44"/>
          <w:highlight w:val="none"/>
        </w:rPr>
      </w:pPr>
      <w:r>
        <w:rPr>
          <w:rFonts w:ascii="仿宋" w:hAnsi="仿宋" w:eastAsia="仿宋" w:cs="Times New Roman"/>
          <w:color w:val="auto"/>
          <w:sz w:val="44"/>
          <w:szCs w:val="44"/>
          <w:highlight w:val="none"/>
        </w:rPr>
        <w:t>（正本/副本）</w:t>
      </w:r>
    </w:p>
    <w:p w14:paraId="7667995A">
      <w:pPr>
        <w:adjustRightInd w:val="0"/>
        <w:snapToGrid w:val="0"/>
        <w:spacing w:after="0" w:line="360" w:lineRule="auto"/>
        <w:jc w:val="center"/>
        <w:rPr>
          <w:rFonts w:ascii="仿宋" w:hAnsi="仿宋" w:eastAsia="仿宋" w:cs="Times New Roman"/>
          <w:bCs/>
          <w:color w:val="auto"/>
          <w:kern w:val="0"/>
          <w:sz w:val="28"/>
          <w:szCs w:val="28"/>
          <w:highlight w:val="none"/>
        </w:rPr>
      </w:pPr>
    </w:p>
    <w:p w14:paraId="78DC4041">
      <w:pPr>
        <w:adjustRightInd w:val="0"/>
        <w:snapToGrid w:val="0"/>
        <w:spacing w:after="0" w:line="360" w:lineRule="auto"/>
        <w:ind w:firstLine="560"/>
        <w:jc w:val="center"/>
        <w:rPr>
          <w:rFonts w:ascii="仿宋" w:hAnsi="仿宋" w:eastAsia="仿宋" w:cs="Times New Roman"/>
          <w:bCs/>
          <w:color w:val="auto"/>
          <w:kern w:val="0"/>
          <w:sz w:val="28"/>
          <w:szCs w:val="28"/>
          <w:highlight w:val="none"/>
        </w:rPr>
      </w:pPr>
    </w:p>
    <w:p w14:paraId="3499FA12">
      <w:pPr>
        <w:pStyle w:val="14"/>
        <w:rPr>
          <w:rFonts w:ascii="仿宋" w:hAnsi="仿宋" w:eastAsia="仿宋" w:cs="Times New Roman"/>
          <w:highlight w:val="none"/>
        </w:rPr>
      </w:pPr>
    </w:p>
    <w:p w14:paraId="121B5324">
      <w:pPr>
        <w:adjustRightInd w:val="0"/>
        <w:snapToGrid w:val="0"/>
        <w:spacing w:after="0" w:line="360" w:lineRule="auto"/>
        <w:ind w:firstLine="560"/>
        <w:jc w:val="center"/>
        <w:rPr>
          <w:rFonts w:ascii="仿宋" w:hAnsi="仿宋" w:eastAsia="仿宋" w:cs="Times New Roman"/>
          <w:bCs/>
          <w:color w:val="auto"/>
          <w:kern w:val="0"/>
          <w:sz w:val="28"/>
          <w:szCs w:val="28"/>
          <w:highlight w:val="none"/>
        </w:rPr>
      </w:pPr>
    </w:p>
    <w:p w14:paraId="3D51544F">
      <w:pPr>
        <w:spacing w:after="0" w:line="360" w:lineRule="auto"/>
        <w:jc w:val="center"/>
        <w:rPr>
          <w:rFonts w:ascii="仿宋" w:hAnsi="仿宋" w:eastAsia="仿宋" w:cs="Times New Roman"/>
          <w:bCs/>
          <w:color w:val="auto"/>
          <w:kern w:val="0"/>
          <w:sz w:val="28"/>
          <w:szCs w:val="28"/>
          <w:highlight w:val="none"/>
        </w:rPr>
      </w:pPr>
      <w:r>
        <w:rPr>
          <w:rFonts w:ascii="仿宋" w:hAnsi="仿宋" w:eastAsia="仿宋" w:cs="Times New Roman"/>
          <w:bCs/>
          <w:color w:val="auto"/>
          <w:kern w:val="0"/>
          <w:sz w:val="28"/>
          <w:szCs w:val="28"/>
          <w:highlight w:val="none"/>
        </w:rPr>
        <w:t>参选人：</w:t>
      </w:r>
      <w:r>
        <w:rPr>
          <w:rFonts w:ascii="仿宋" w:hAnsi="仿宋" w:eastAsia="仿宋" w:cs="Times New Roman"/>
          <w:bCs/>
          <w:color w:val="auto"/>
          <w:kern w:val="0"/>
          <w:sz w:val="28"/>
          <w:szCs w:val="28"/>
          <w:highlight w:val="none"/>
          <w:u w:val="single"/>
        </w:rPr>
        <w:t>（参选人全称）</w:t>
      </w:r>
      <w:r>
        <w:rPr>
          <w:rFonts w:ascii="仿宋" w:hAnsi="仿宋" w:eastAsia="仿宋" w:cs="Times New Roman"/>
          <w:bCs/>
          <w:color w:val="auto"/>
          <w:kern w:val="0"/>
          <w:sz w:val="28"/>
          <w:szCs w:val="28"/>
          <w:highlight w:val="none"/>
        </w:rPr>
        <w:t>（盖章）</w:t>
      </w:r>
    </w:p>
    <w:p w14:paraId="741C386F">
      <w:pPr>
        <w:adjustRightInd w:val="0"/>
        <w:snapToGrid w:val="0"/>
        <w:spacing w:after="0" w:line="360" w:lineRule="auto"/>
        <w:jc w:val="center"/>
        <w:rPr>
          <w:rFonts w:ascii="仿宋" w:hAnsi="仿宋" w:eastAsia="仿宋" w:cs="Times New Roman"/>
          <w:bCs/>
          <w:color w:val="auto"/>
          <w:kern w:val="0"/>
          <w:sz w:val="28"/>
          <w:szCs w:val="28"/>
          <w:highlight w:val="none"/>
          <w:u w:val="single"/>
        </w:rPr>
      </w:pPr>
      <w:r>
        <w:rPr>
          <w:rFonts w:ascii="仿宋" w:hAnsi="仿宋" w:eastAsia="仿宋" w:cs="Times New Roman"/>
          <w:bCs/>
          <w:color w:val="auto"/>
          <w:kern w:val="0"/>
          <w:sz w:val="28"/>
          <w:szCs w:val="28"/>
          <w:highlight w:val="none"/>
        </w:rPr>
        <w:t>单位负责人或其委托代理人：</w:t>
      </w:r>
      <w:r>
        <w:rPr>
          <w:rFonts w:ascii="仿宋" w:hAnsi="仿宋" w:eastAsia="仿宋" w:cs="Times New Roman"/>
          <w:bCs/>
          <w:color w:val="auto"/>
          <w:kern w:val="0"/>
          <w:sz w:val="28"/>
          <w:szCs w:val="28"/>
          <w:highlight w:val="none"/>
          <w:u w:val="single"/>
        </w:rPr>
        <w:t xml:space="preserve">               </w:t>
      </w:r>
      <w:r>
        <w:rPr>
          <w:rFonts w:ascii="仿宋" w:hAnsi="仿宋" w:eastAsia="仿宋" w:cs="Times New Roman"/>
          <w:bCs/>
          <w:color w:val="auto"/>
          <w:kern w:val="0"/>
          <w:sz w:val="28"/>
          <w:szCs w:val="28"/>
          <w:highlight w:val="none"/>
        </w:rPr>
        <w:t>（签字或盖章）</w:t>
      </w:r>
    </w:p>
    <w:p w14:paraId="1783ED11">
      <w:pPr>
        <w:pStyle w:val="5"/>
        <w:spacing w:after="645" w:line="267" w:lineRule="auto"/>
        <w:ind w:right="340"/>
        <w:jc w:val="center"/>
        <w:rPr>
          <w:rFonts w:ascii="仿宋" w:hAnsi="仿宋" w:eastAsia="仿宋" w:cs="Times New Roman"/>
          <w:bCs/>
          <w:color w:val="auto"/>
          <w:kern w:val="0"/>
          <w:szCs w:val="28"/>
          <w:highlight w:val="none"/>
        </w:rPr>
        <w:sectPr>
          <w:pgSz w:w="12240" w:h="15840"/>
          <w:pgMar w:top="2098" w:right="1474" w:bottom="1984" w:left="1587" w:header="720" w:footer="720" w:gutter="0"/>
          <w:cols w:space="720" w:num="1"/>
        </w:sectPr>
      </w:pP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年</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月</w:t>
      </w:r>
      <w:r>
        <w:rPr>
          <w:rFonts w:ascii="仿宋" w:hAnsi="仿宋" w:eastAsia="仿宋" w:cs="Times New Roman"/>
          <w:bCs/>
          <w:color w:val="auto"/>
          <w:kern w:val="0"/>
          <w:szCs w:val="28"/>
          <w:highlight w:val="none"/>
          <w:u w:val="single"/>
        </w:rPr>
        <w:t xml:space="preserve">     </w:t>
      </w:r>
      <w:r>
        <w:rPr>
          <w:rFonts w:ascii="仿宋" w:hAnsi="仿宋" w:eastAsia="仿宋" w:cs="Times New Roman"/>
          <w:bCs/>
          <w:color w:val="auto"/>
          <w:kern w:val="0"/>
          <w:szCs w:val="28"/>
          <w:highlight w:val="none"/>
        </w:rPr>
        <w:t>日</w:t>
      </w:r>
      <w:bookmarkStart w:id="36" w:name="_Toc128141273"/>
      <w:bookmarkStart w:id="37" w:name="_Toc3485"/>
      <w:bookmarkStart w:id="38" w:name="_Toc15260"/>
    </w:p>
    <w:p w14:paraId="1E07318B">
      <w:pPr>
        <w:pStyle w:val="6"/>
        <w:rPr>
          <w:rFonts w:ascii="仿宋" w:hAnsi="仿宋" w:eastAsia="仿宋"/>
          <w:highlight w:val="none"/>
        </w:rPr>
      </w:pPr>
    </w:p>
    <w:p w14:paraId="15045CEB">
      <w:pPr>
        <w:pStyle w:val="5"/>
        <w:spacing w:after="645" w:line="267" w:lineRule="auto"/>
        <w:ind w:right="4215"/>
        <w:jc w:val="right"/>
        <w:rPr>
          <w:rFonts w:ascii="仿宋" w:hAnsi="仿宋" w:eastAsia="仿宋" w:cs="Times New Roman"/>
          <w:b/>
          <w:bCs/>
          <w:color w:val="auto"/>
          <w:highlight w:val="none"/>
        </w:rPr>
      </w:pPr>
      <w:r>
        <w:rPr>
          <w:rFonts w:hint="eastAsia" w:ascii="仿宋" w:hAnsi="仿宋" w:eastAsia="仿宋"/>
          <w:color w:val="auto"/>
          <w:sz w:val="32"/>
          <w:highlight w:val="none"/>
        </w:rPr>
        <w:t>目  录</w:t>
      </w:r>
      <w:bookmarkEnd w:id="36"/>
      <w:bookmarkEnd w:id="37"/>
      <w:bookmarkEnd w:id="38"/>
    </w:p>
    <w:p w14:paraId="636D586B">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一、比选申请函………………………………………………………………………………（）</w:t>
      </w:r>
    </w:p>
    <w:p w14:paraId="74E5F1C9">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二、单位负责人身份证明（适用于无委托代理人的情况）………………………………（）</w:t>
      </w:r>
    </w:p>
    <w:p w14:paraId="3479A1F5">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三、授权委托书（适用于有委托代理人的情况）…………………………………………（）</w:t>
      </w:r>
    </w:p>
    <w:p w14:paraId="39470A19">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四、</w:t>
      </w:r>
      <w:r>
        <w:rPr>
          <w:rFonts w:hint="eastAsia" w:ascii="仿宋" w:hAnsi="仿宋" w:eastAsia="仿宋" w:cs="仿宋_GB2312"/>
          <w:color w:val="auto"/>
          <w:sz w:val="24"/>
          <w:szCs w:val="24"/>
          <w:highlight w:val="none"/>
          <w:lang w:val="en-US" w:eastAsia="zh-CN"/>
        </w:rPr>
        <w:t>资</w:t>
      </w:r>
      <w:r>
        <w:rPr>
          <w:rFonts w:hint="eastAsia" w:ascii="仿宋" w:hAnsi="仿宋" w:eastAsia="仿宋" w:cs="仿宋_GB2312"/>
          <w:color w:val="auto"/>
          <w:sz w:val="24"/>
          <w:szCs w:val="24"/>
          <w:highlight w:val="none"/>
        </w:rPr>
        <w:t>格审查资料……………………………………………………………………………（）</w:t>
      </w:r>
    </w:p>
    <w:p w14:paraId="755B2F9B">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五、保密承诺书………………………………………………………………………………（）</w:t>
      </w:r>
    </w:p>
    <w:p w14:paraId="463E34EF">
      <w:pPr>
        <w:spacing w:after="282"/>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六、服务方案…………………………………………………………………………………（）</w:t>
      </w:r>
    </w:p>
    <w:p w14:paraId="5B8196C1">
      <w:pPr>
        <w:pStyle w:val="14"/>
        <w:ind w:left="0"/>
        <w:rPr>
          <w:rFonts w:ascii="仿宋" w:hAnsi="仿宋" w:eastAsia="仿宋" w:cs="仿宋_GB2312"/>
          <w:sz w:val="24"/>
          <w:szCs w:val="24"/>
          <w:highlight w:val="none"/>
        </w:rPr>
      </w:pPr>
      <w:r>
        <w:rPr>
          <w:rFonts w:hint="eastAsia" w:ascii="仿宋" w:hAnsi="仿宋" w:eastAsia="仿宋" w:cs="仿宋_GB2312"/>
          <w:sz w:val="24"/>
          <w:szCs w:val="24"/>
          <w:highlight w:val="none"/>
        </w:rPr>
        <w:t>七、其他资料（如有）………………………………………………………………………（）</w:t>
      </w:r>
    </w:p>
    <w:p w14:paraId="15815377">
      <w:pPr>
        <w:spacing w:after="0"/>
        <w:rPr>
          <w:rFonts w:ascii="仿宋" w:hAnsi="仿宋" w:eastAsia="仿宋" w:cs="Times New Roman"/>
          <w:color w:val="auto"/>
          <w:sz w:val="20"/>
          <w:highlight w:val="none"/>
        </w:rPr>
      </w:pPr>
      <w:r>
        <w:rPr>
          <w:rFonts w:ascii="仿宋" w:hAnsi="仿宋" w:eastAsia="仿宋" w:cs="Times New Roman"/>
          <w:color w:val="auto"/>
          <w:sz w:val="21"/>
          <w:highlight w:val="none"/>
        </w:rPr>
        <w:t xml:space="preserve"> </w:t>
      </w:r>
      <w:r>
        <w:rPr>
          <w:rFonts w:ascii="仿宋" w:hAnsi="仿宋" w:eastAsia="仿宋" w:cs="Times New Roman"/>
          <w:color w:val="auto"/>
          <w:sz w:val="21"/>
          <w:highlight w:val="none"/>
        </w:rPr>
        <w:tab/>
      </w:r>
      <w:r>
        <w:rPr>
          <w:rFonts w:ascii="仿宋" w:hAnsi="仿宋" w:eastAsia="仿宋" w:cs="Times New Roman"/>
          <w:color w:val="auto"/>
          <w:sz w:val="20"/>
          <w:highlight w:val="none"/>
        </w:rPr>
        <w:t xml:space="preserve"> </w:t>
      </w:r>
    </w:p>
    <w:p w14:paraId="753B9B92">
      <w:pPr>
        <w:pStyle w:val="5"/>
        <w:spacing w:after="0" w:line="360" w:lineRule="auto"/>
        <w:ind w:left="0" w:right="0" w:firstLine="0"/>
        <w:jc w:val="center"/>
        <w:rPr>
          <w:rFonts w:ascii="仿宋" w:hAnsi="仿宋" w:eastAsia="仿宋" w:cs="Times New Roman"/>
          <w:color w:val="auto"/>
          <w:sz w:val="32"/>
          <w:highlight w:val="none"/>
        </w:rPr>
        <w:sectPr>
          <w:footerReference r:id="rId8" w:type="default"/>
          <w:pgSz w:w="12240" w:h="15840"/>
          <w:pgMar w:top="1440" w:right="1440" w:bottom="1440" w:left="1440" w:header="720" w:footer="720" w:gutter="0"/>
          <w:cols w:space="720" w:num="1"/>
        </w:sectPr>
      </w:pPr>
      <w:bookmarkStart w:id="39" w:name="_Toc2224"/>
      <w:bookmarkStart w:id="40" w:name="_Toc128141274"/>
      <w:bookmarkStart w:id="41" w:name="_Toc14455"/>
    </w:p>
    <w:p w14:paraId="412FDF81">
      <w:pPr>
        <w:pStyle w:val="5"/>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一、</w:t>
      </w:r>
      <w:bookmarkEnd w:id="39"/>
      <w:bookmarkEnd w:id="40"/>
      <w:bookmarkEnd w:id="41"/>
      <w:r>
        <w:rPr>
          <w:rFonts w:ascii="仿宋" w:hAnsi="仿宋" w:eastAsia="仿宋" w:cs="Times New Roman"/>
          <w:color w:val="auto"/>
          <w:sz w:val="32"/>
          <w:szCs w:val="32"/>
          <w:highlight w:val="none"/>
        </w:rPr>
        <w:t>比选申请函</w:t>
      </w:r>
    </w:p>
    <w:p w14:paraId="649E3107">
      <w:pPr>
        <w:spacing w:after="152" w:line="265"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四川蜀物兴川物流发展有限公司： </w:t>
      </w:r>
    </w:p>
    <w:p w14:paraId="23CBB93A">
      <w:pPr>
        <w:spacing w:after="0" w:line="360" w:lineRule="auto"/>
        <w:ind w:firstLine="480" w:firstLineChars="200"/>
        <w:jc w:val="both"/>
        <w:rPr>
          <w:rFonts w:ascii="仿宋" w:hAnsi="仿宋" w:eastAsia="仿宋" w:cs="Times New Roman"/>
          <w:highlight w:val="none"/>
        </w:rPr>
      </w:pPr>
      <w:r>
        <w:rPr>
          <w:rFonts w:ascii="仿宋" w:hAnsi="仿宋" w:eastAsia="仿宋" w:cs="Times New Roman"/>
          <w:color w:val="auto"/>
          <w:sz w:val="24"/>
          <w:szCs w:val="24"/>
          <w:highlight w:val="none"/>
        </w:rPr>
        <w:t>1．我方已仔细研究了</w:t>
      </w:r>
      <w:r>
        <w:rPr>
          <w:rFonts w:ascii="仿宋" w:hAnsi="仿宋" w:eastAsia="仿宋" w:cs="Times New Roman"/>
          <w:b/>
          <w:bCs/>
          <w:color w:val="auto"/>
          <w:sz w:val="24"/>
          <w:szCs w:val="28"/>
          <w:highlight w:val="none"/>
          <w:u w:val="single"/>
        </w:rPr>
        <w:t>四川蜀物兴川物流发展有限公司</w:t>
      </w:r>
      <w:r>
        <w:rPr>
          <w:rFonts w:hint="eastAsia" w:ascii="仿宋" w:hAnsi="仿宋" w:eastAsia="仿宋" w:cs="Times New Roman"/>
          <w:b/>
          <w:bCs/>
          <w:color w:val="auto"/>
          <w:sz w:val="24"/>
          <w:szCs w:val="28"/>
          <w:highlight w:val="none"/>
          <w:u w:val="single"/>
          <w:lang w:val="en-US" w:eastAsia="zh-CN"/>
        </w:rPr>
        <w:t>关于与江苏某2家国有企业买卖合同纠纷法律服务</w:t>
      </w:r>
      <w:r>
        <w:rPr>
          <w:rFonts w:ascii="仿宋" w:hAnsi="仿宋" w:eastAsia="仿宋" w:cs="Times New Roman"/>
          <w:b/>
          <w:bCs/>
          <w:color w:val="auto"/>
          <w:sz w:val="24"/>
          <w:szCs w:val="28"/>
          <w:highlight w:val="none"/>
          <w:u w:val="single"/>
        </w:rPr>
        <w:t>项目</w:t>
      </w:r>
      <w:r>
        <w:rPr>
          <w:rFonts w:ascii="仿宋" w:hAnsi="仿宋" w:eastAsia="仿宋" w:cs="Times New Roman"/>
          <w:color w:val="auto"/>
          <w:sz w:val="24"/>
          <w:szCs w:val="24"/>
          <w:highlight w:val="none"/>
        </w:rPr>
        <w:t>采购项目比选文件的全部内容，比选报价为大写：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（含税），小写：￥</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（含税），服务期限：</w:t>
      </w:r>
      <w:r>
        <w:rPr>
          <w:rFonts w:ascii="仿宋" w:hAnsi="仿宋" w:eastAsia="仿宋" w:cs="Times New Roman"/>
          <w:color w:val="auto"/>
          <w:sz w:val="24"/>
          <w:szCs w:val="24"/>
          <w:highlight w:val="none"/>
          <w:u w:val="single" w:color="000000"/>
        </w:rPr>
        <w:t xml:space="preserve"> </w:t>
      </w:r>
      <w:r>
        <w:rPr>
          <w:rFonts w:ascii="仿宋" w:hAnsi="仿宋" w:eastAsia="仿宋" w:cs="Times New Roman"/>
          <w:b/>
          <w:bCs/>
          <w:color w:val="auto"/>
          <w:sz w:val="24"/>
          <w:szCs w:val="24"/>
          <w:highlight w:val="none"/>
          <w:u w:val="single" w:color="000000"/>
        </w:rPr>
        <w:t>自代理合同签订之日起至甲方债权全部实现为止</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，并响应贵方比选文件中所有实质性要求，按合同约定履行全部义务。 </w:t>
      </w:r>
    </w:p>
    <w:tbl>
      <w:tblPr>
        <w:tblStyle w:val="30"/>
        <w:tblW w:w="8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635"/>
        <w:gridCol w:w="1620"/>
        <w:gridCol w:w="1710"/>
        <w:gridCol w:w="1294"/>
      </w:tblGrid>
      <w:tr w14:paraId="070E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763" w:type="dxa"/>
            <w:vAlign w:val="center"/>
          </w:tcPr>
          <w:p w14:paraId="2DC6024B">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highlight w:val="none"/>
              </w:rPr>
              <w:t>基础代理费</w:t>
            </w:r>
          </w:p>
        </w:tc>
        <w:tc>
          <w:tcPr>
            <w:tcW w:w="1635" w:type="dxa"/>
            <w:vAlign w:val="center"/>
          </w:tcPr>
          <w:p w14:paraId="2052BC55">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风险费费率</w:t>
            </w:r>
          </w:p>
        </w:tc>
        <w:tc>
          <w:tcPr>
            <w:tcW w:w="1620" w:type="dxa"/>
            <w:vAlign w:val="center"/>
          </w:tcPr>
          <w:p w14:paraId="210FCE7D">
            <w:pPr>
              <w:widowControl w:val="0"/>
              <w:spacing w:after="0" w:line="400" w:lineRule="exact"/>
              <w:jc w:val="center"/>
              <w:rPr>
                <w:rFonts w:ascii="仿宋" w:hAnsi="仿宋" w:eastAsia="仿宋" w:cs="Times New Roman"/>
                <w:b/>
                <w:bCs/>
                <w:szCs w:val="21"/>
                <w:highlight w:val="none"/>
              </w:rPr>
            </w:pPr>
            <w:r>
              <w:rPr>
                <w:rFonts w:ascii="仿宋" w:hAnsi="仿宋" w:eastAsia="仿宋" w:cs="Times New Roman"/>
                <w:b/>
                <w:bCs/>
                <w:szCs w:val="21"/>
                <w:highlight w:val="none"/>
              </w:rPr>
              <w:t>暂估的风险</w:t>
            </w:r>
          </w:p>
          <w:p w14:paraId="7671616E">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代理费</w:t>
            </w:r>
          </w:p>
        </w:tc>
        <w:tc>
          <w:tcPr>
            <w:tcW w:w="1710" w:type="dxa"/>
            <w:vAlign w:val="center"/>
          </w:tcPr>
          <w:p w14:paraId="76B3B8DC">
            <w:pPr>
              <w:widowControl w:val="0"/>
              <w:spacing w:after="0" w:line="400" w:lineRule="exact"/>
              <w:jc w:val="center"/>
              <w:rPr>
                <w:rFonts w:ascii="仿宋" w:hAnsi="仿宋" w:eastAsia="仿宋" w:cs="Times New Roman"/>
                <w:b/>
                <w:bCs/>
                <w:szCs w:val="21"/>
                <w:highlight w:val="none"/>
              </w:rPr>
            </w:pPr>
            <w:r>
              <w:rPr>
                <w:rFonts w:ascii="仿宋" w:hAnsi="仿宋" w:eastAsia="仿宋" w:cs="Times New Roman"/>
                <w:b/>
                <w:bCs/>
                <w:szCs w:val="21"/>
                <w:highlight w:val="none"/>
              </w:rPr>
              <w:t>总价</w:t>
            </w:r>
          </w:p>
          <w:p w14:paraId="67C7D285">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（含税价）</w:t>
            </w:r>
          </w:p>
        </w:tc>
        <w:tc>
          <w:tcPr>
            <w:tcW w:w="1294" w:type="dxa"/>
            <w:vAlign w:val="center"/>
          </w:tcPr>
          <w:p w14:paraId="77E4293B">
            <w:pPr>
              <w:widowControl w:val="0"/>
              <w:spacing w:after="0" w:line="400" w:lineRule="exact"/>
              <w:jc w:val="center"/>
              <w:rPr>
                <w:rFonts w:ascii="仿宋" w:hAnsi="仿宋" w:eastAsia="仿宋" w:cs="Times New Roman"/>
                <w:b/>
                <w:bCs/>
                <w:highlight w:val="none"/>
              </w:rPr>
            </w:pPr>
            <w:r>
              <w:rPr>
                <w:rFonts w:ascii="仿宋" w:hAnsi="仿宋" w:eastAsia="仿宋" w:cs="Times New Roman"/>
                <w:b/>
                <w:bCs/>
                <w:szCs w:val="21"/>
                <w:highlight w:val="none"/>
              </w:rPr>
              <w:t>税率</w:t>
            </w:r>
          </w:p>
        </w:tc>
      </w:tr>
      <w:tr w14:paraId="5C1C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763" w:type="dxa"/>
            <w:vAlign w:val="center"/>
          </w:tcPr>
          <w:p w14:paraId="59DDBC9A">
            <w:pPr>
              <w:widowControl w:val="0"/>
              <w:spacing w:after="0" w:line="560" w:lineRule="exact"/>
              <w:jc w:val="center"/>
              <w:rPr>
                <w:rFonts w:ascii="仿宋" w:hAnsi="仿宋" w:eastAsia="仿宋" w:cs="Times New Roman"/>
                <w:b/>
                <w:bCs/>
                <w:szCs w:val="21"/>
                <w:highlight w:val="none"/>
              </w:rPr>
            </w:pPr>
          </w:p>
        </w:tc>
        <w:tc>
          <w:tcPr>
            <w:tcW w:w="1635" w:type="dxa"/>
            <w:vAlign w:val="center"/>
          </w:tcPr>
          <w:p w14:paraId="2A9954D6">
            <w:pPr>
              <w:widowControl w:val="0"/>
              <w:spacing w:after="0" w:line="560" w:lineRule="exact"/>
              <w:jc w:val="center"/>
              <w:rPr>
                <w:rFonts w:ascii="仿宋" w:hAnsi="仿宋" w:eastAsia="仿宋" w:cs="Times New Roman"/>
                <w:szCs w:val="21"/>
                <w:highlight w:val="none"/>
              </w:rPr>
            </w:pPr>
          </w:p>
        </w:tc>
        <w:tc>
          <w:tcPr>
            <w:tcW w:w="1620" w:type="dxa"/>
            <w:vAlign w:val="center"/>
          </w:tcPr>
          <w:p w14:paraId="57585701">
            <w:pPr>
              <w:widowControl w:val="0"/>
              <w:spacing w:after="0" w:line="560" w:lineRule="exact"/>
              <w:jc w:val="center"/>
              <w:rPr>
                <w:rFonts w:ascii="仿宋" w:hAnsi="仿宋" w:eastAsia="仿宋" w:cs="Times New Roman"/>
                <w:szCs w:val="21"/>
                <w:highlight w:val="none"/>
              </w:rPr>
            </w:pPr>
          </w:p>
        </w:tc>
        <w:tc>
          <w:tcPr>
            <w:tcW w:w="1710" w:type="dxa"/>
            <w:vAlign w:val="center"/>
          </w:tcPr>
          <w:p w14:paraId="730EA338">
            <w:pPr>
              <w:widowControl w:val="0"/>
              <w:spacing w:after="0" w:line="560" w:lineRule="exact"/>
              <w:jc w:val="center"/>
              <w:rPr>
                <w:rFonts w:ascii="仿宋" w:hAnsi="仿宋" w:eastAsia="仿宋" w:cs="Times New Roman"/>
                <w:szCs w:val="21"/>
                <w:highlight w:val="none"/>
              </w:rPr>
            </w:pPr>
          </w:p>
        </w:tc>
        <w:tc>
          <w:tcPr>
            <w:tcW w:w="1294" w:type="dxa"/>
            <w:vAlign w:val="center"/>
          </w:tcPr>
          <w:p w14:paraId="13987DBA">
            <w:pPr>
              <w:widowControl w:val="0"/>
              <w:spacing w:after="0" w:line="560" w:lineRule="exact"/>
              <w:jc w:val="center"/>
              <w:rPr>
                <w:rFonts w:ascii="仿宋" w:hAnsi="仿宋" w:eastAsia="仿宋" w:cs="Times New Roman"/>
                <w:szCs w:val="21"/>
                <w:highlight w:val="none"/>
              </w:rPr>
            </w:pPr>
          </w:p>
        </w:tc>
      </w:tr>
      <w:tr w14:paraId="03B3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8022" w:type="dxa"/>
            <w:gridSpan w:val="5"/>
            <w:vAlign w:val="center"/>
          </w:tcPr>
          <w:p w14:paraId="3B7B492F">
            <w:pPr>
              <w:widowControl w:val="0"/>
              <w:spacing w:after="0" w:line="400" w:lineRule="exact"/>
              <w:rPr>
                <w:rFonts w:hint="eastAsia" w:ascii="仿宋" w:hAnsi="仿宋" w:eastAsia="仿宋" w:cs="仿宋_GB2312"/>
                <w:b/>
                <w:bCs/>
                <w:highlight w:val="none"/>
              </w:rPr>
            </w:pPr>
            <w:r>
              <w:rPr>
                <w:rFonts w:hint="eastAsia" w:ascii="仿宋" w:hAnsi="仿宋" w:eastAsia="仿宋" w:cs="仿宋_GB2312"/>
                <w:b/>
                <w:bCs/>
                <w:highlight w:val="none"/>
              </w:rPr>
              <w:t>备注：</w:t>
            </w:r>
            <w:r>
              <w:rPr>
                <w:rFonts w:hint="eastAsia" w:ascii="仿宋" w:hAnsi="仿宋" w:eastAsia="仿宋" w:cs="仿宋_GB2312"/>
                <w:b/>
                <w:bCs/>
                <w:highlight w:val="none"/>
                <w:lang w:val="en-US" w:eastAsia="zh-CN"/>
              </w:rPr>
              <w:t>1.</w:t>
            </w:r>
            <w:r>
              <w:rPr>
                <w:rFonts w:hint="eastAsia" w:ascii="仿宋" w:hAnsi="仿宋" w:eastAsia="仿宋" w:cs="仿宋_GB2312"/>
                <w:b/>
                <w:bCs/>
                <w:highlight w:val="none"/>
              </w:rPr>
              <w:t>本项目风险代理费基数以比选人实际收到本项目款项的金额为基数计取。</w:t>
            </w:r>
          </w:p>
          <w:p w14:paraId="588C9273">
            <w:pPr>
              <w:pStyle w:val="14"/>
              <w:ind w:left="0" w:leftChars="0" w:firstLine="663" w:firstLineChars="300"/>
              <w:rPr>
                <w:rFonts w:hint="default" w:eastAsia="仿宋"/>
                <w:highlight w:val="none"/>
                <w:lang w:val="en-US" w:eastAsia="zh-CN"/>
              </w:rPr>
            </w:pPr>
            <w:r>
              <w:rPr>
                <w:rFonts w:hint="eastAsia" w:ascii="仿宋" w:hAnsi="仿宋" w:eastAsia="仿宋" w:cs="仿宋_GB2312"/>
                <w:b/>
                <w:bCs/>
                <w:color w:val="000000"/>
                <w:kern w:val="2"/>
                <w:sz w:val="22"/>
                <w:szCs w:val="22"/>
                <w:highlight w:val="none"/>
                <w:lang w:val="en-US" w:eastAsia="zh-CN" w:bidi="ar-SA"/>
              </w:rPr>
              <w:t>2.本报价已包含因项目所发生的差旅费、交通费等费用。</w:t>
            </w:r>
          </w:p>
        </w:tc>
      </w:tr>
    </w:tbl>
    <w:p w14:paraId="133E1B57">
      <w:pPr>
        <w:spacing w:after="0" w:line="360" w:lineRule="auto"/>
        <w:ind w:firstLine="480" w:firstLineChars="200"/>
        <w:rPr>
          <w:rFonts w:ascii="仿宋" w:hAnsi="仿宋" w:eastAsia="仿宋" w:cs="Times New Roman"/>
          <w:color w:val="auto"/>
          <w:sz w:val="24"/>
          <w:szCs w:val="24"/>
          <w:highlight w:val="none"/>
        </w:rPr>
      </w:pPr>
    </w:p>
    <w:p w14:paraId="50AB9838">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2.我方的比选响应文件包括下列内容： </w:t>
      </w:r>
    </w:p>
    <w:p w14:paraId="61FB7E59">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（1）比选申请函； </w:t>
      </w:r>
    </w:p>
    <w:p w14:paraId="082B0CA7">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（2）单位负责人身份证明或授权委托书； </w:t>
      </w:r>
    </w:p>
    <w:p w14:paraId="769120DB">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（3）资格审查资料；</w:t>
      </w:r>
    </w:p>
    <w:p w14:paraId="38A6689F">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（4）承诺函；</w:t>
      </w:r>
    </w:p>
    <w:p w14:paraId="6308675D">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（5）服务方案</w:t>
      </w:r>
    </w:p>
    <w:p w14:paraId="54723F30">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（6）其他资料（如有）； </w:t>
      </w:r>
    </w:p>
    <w:p w14:paraId="3DEEFD90">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比选响应文件的上述组成部分如存在内容不一致的，以比选申请函为准。 </w:t>
      </w:r>
    </w:p>
    <w:p w14:paraId="1482511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3．我方承诺在比选文件规定的有效期内不撤销比选响应文件。 </w:t>
      </w:r>
    </w:p>
    <w:p w14:paraId="666D6F50">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4．如我方中选，我方承诺： </w:t>
      </w:r>
    </w:p>
    <w:p w14:paraId="0F54445B">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（1）在收到中选通知书后，在中选通知书规定的期限内与你方签订合同； </w:t>
      </w:r>
    </w:p>
    <w:p w14:paraId="2ECF06F0">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（2）在签订合同时不向你方提出附加条件； </w:t>
      </w:r>
    </w:p>
    <w:p w14:paraId="574A01A6">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（3）在合同约定的期限内完成合同规定的全部义务。 </w:t>
      </w:r>
    </w:p>
    <w:p w14:paraId="4D2E1CB0">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5．我方在此声明，所递交的比选响应文件及有关资料内容完整、真实和准确，一旦发现上述资料和信息的失实和错误，贵方将有权否决我方的参选，同时，我方将承担相应的法律责任。</w:t>
      </w:r>
    </w:p>
    <w:p w14:paraId="7D0F6E8A">
      <w:pPr>
        <w:spacing w:after="0" w:line="360" w:lineRule="auto"/>
        <w:ind w:firstLine="480" w:firstLineChars="200"/>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w:t>
      </w:r>
    </w:p>
    <w:p w14:paraId="5410A5D5">
      <w:pPr>
        <w:pStyle w:val="2"/>
        <w:ind w:left="440"/>
        <w:rPr>
          <w:rFonts w:ascii="仿宋" w:hAnsi="仿宋" w:eastAsia="仿宋"/>
          <w:highlight w:val="none"/>
        </w:rPr>
      </w:pPr>
    </w:p>
    <w:p w14:paraId="1DB6C668">
      <w:pPr>
        <w:spacing w:after="151"/>
        <w:ind w:left="10" w:right="451" w:hanging="10"/>
        <w:jc w:val="right"/>
        <w:rPr>
          <w:rFonts w:ascii="仿宋" w:hAnsi="仿宋" w:eastAsia="仿宋" w:cs="仿宋_GB2312"/>
          <w:color w:val="auto"/>
          <w:sz w:val="24"/>
          <w:szCs w:val="24"/>
          <w:highlight w:val="none"/>
        </w:rPr>
      </w:pPr>
    </w:p>
    <w:p w14:paraId="07E63816">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参选人：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（盖单位章）                         </w:t>
      </w:r>
    </w:p>
    <w:p w14:paraId="26024F3A">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单位负责人或其委托代理人：</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（签字） </w:t>
      </w:r>
    </w:p>
    <w:p w14:paraId="41A6367E">
      <w:pPr>
        <w:spacing w:after="151"/>
        <w:ind w:left="10" w:right="451" w:hanging="10"/>
        <w:jc w:val="righ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年</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月</w:t>
      </w:r>
      <w:r>
        <w:rPr>
          <w:rFonts w:hint="eastAsia" w:ascii="仿宋" w:hAnsi="仿宋" w:eastAsia="仿宋" w:cs="仿宋_GB2312"/>
          <w:color w:val="auto"/>
          <w:sz w:val="24"/>
          <w:szCs w:val="24"/>
          <w:highlight w:val="none"/>
          <w:u w:val="single" w:color="000000"/>
        </w:rPr>
        <w:t xml:space="preserve">      </w:t>
      </w:r>
      <w:r>
        <w:rPr>
          <w:rFonts w:hint="eastAsia" w:ascii="仿宋" w:hAnsi="仿宋" w:eastAsia="仿宋" w:cs="仿宋_GB2312"/>
          <w:color w:val="auto"/>
          <w:sz w:val="24"/>
          <w:szCs w:val="24"/>
          <w:highlight w:val="none"/>
        </w:rPr>
        <w:t xml:space="preserve">日  </w:t>
      </w:r>
    </w:p>
    <w:p w14:paraId="2085521F">
      <w:pPr>
        <w:pStyle w:val="5"/>
        <w:spacing w:after="0" w:line="360" w:lineRule="auto"/>
        <w:ind w:left="0" w:right="0" w:firstLine="0"/>
        <w:jc w:val="both"/>
        <w:rPr>
          <w:rFonts w:ascii="仿宋" w:hAnsi="仿宋" w:eastAsia="仿宋" w:cs="Times New Roman"/>
          <w:b/>
          <w:bCs/>
          <w:color w:val="auto"/>
          <w:sz w:val="32"/>
          <w:highlight w:val="none"/>
        </w:rPr>
      </w:pPr>
      <w:bookmarkStart w:id="42" w:name="_Toc128141275"/>
      <w:bookmarkStart w:id="43" w:name="_Toc20030"/>
      <w:bookmarkStart w:id="44" w:name="_Toc22530"/>
    </w:p>
    <w:p w14:paraId="35AC3AA4">
      <w:pPr>
        <w:rPr>
          <w:rFonts w:ascii="仿宋" w:hAnsi="仿宋" w:eastAsia="仿宋" w:cs="Times New Roman"/>
          <w:color w:val="auto"/>
          <w:sz w:val="36"/>
          <w:szCs w:val="36"/>
          <w:highlight w:val="none"/>
        </w:rPr>
      </w:pPr>
      <w:r>
        <w:rPr>
          <w:rFonts w:ascii="仿宋" w:hAnsi="仿宋" w:eastAsia="仿宋" w:cs="Times New Roman"/>
          <w:color w:val="auto"/>
          <w:sz w:val="36"/>
          <w:szCs w:val="36"/>
          <w:highlight w:val="none"/>
        </w:rPr>
        <w:br w:type="page"/>
      </w:r>
      <w:bookmarkStart w:id="62" w:name="_GoBack"/>
      <w:bookmarkEnd w:id="62"/>
    </w:p>
    <w:p w14:paraId="2B527514">
      <w:pPr>
        <w:pStyle w:val="5"/>
        <w:spacing w:after="0" w:line="360" w:lineRule="auto"/>
        <w:ind w:left="0" w:right="0" w:firstLine="0"/>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二、单位负责人身份证明</w:t>
      </w:r>
      <w:bookmarkEnd w:id="42"/>
      <w:bookmarkEnd w:id="43"/>
      <w:bookmarkEnd w:id="44"/>
    </w:p>
    <w:p w14:paraId="15624F65">
      <w:pPr>
        <w:spacing w:after="0" w:line="433" w:lineRule="auto"/>
        <w:ind w:right="8802"/>
        <w:rPr>
          <w:rFonts w:ascii="仿宋" w:hAnsi="仿宋" w:eastAsia="仿宋" w:cs="Times New Roman"/>
          <w:color w:val="auto"/>
          <w:highlight w:val="none"/>
        </w:rPr>
      </w:pPr>
      <w:r>
        <w:rPr>
          <w:rFonts w:ascii="仿宋" w:hAnsi="仿宋" w:eastAsia="仿宋" w:cs="Times New Roman"/>
          <w:color w:val="auto"/>
          <w:sz w:val="20"/>
          <w:highlight w:val="none"/>
        </w:rPr>
        <w:t xml:space="preserve"> </w:t>
      </w:r>
      <w:r>
        <w:rPr>
          <w:rFonts w:ascii="仿宋" w:hAnsi="仿宋" w:eastAsia="仿宋" w:cs="Times New Roman"/>
          <w:color w:val="auto"/>
          <w:sz w:val="21"/>
          <w:highlight w:val="none"/>
        </w:rPr>
        <w:t xml:space="preserve"> </w:t>
      </w:r>
    </w:p>
    <w:p w14:paraId="778C81F9">
      <w:pPr>
        <w:spacing w:after="145" w:line="360"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四川蜀物兴川物流发展有限公司：</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w:t>
      </w:r>
    </w:p>
    <w:p w14:paraId="646314B5">
      <w:pPr>
        <w:spacing w:after="145" w:line="360"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姓名：</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性别：</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年龄：</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职务：</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 系</w:t>
      </w:r>
      <w:r>
        <w:rPr>
          <w:rFonts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（参选人名称）的单位负责人。单位负责人有权以本律师事务所的名义递交比选响应文件并处理与此有关的一切事务，相关法律责任和后果均由本单位承担。</w:t>
      </w:r>
    </w:p>
    <w:p w14:paraId="481E4922">
      <w:pPr>
        <w:spacing w:after="152"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特此证明。 </w:t>
      </w:r>
    </w:p>
    <w:p w14:paraId="4CE86DF9">
      <w:pPr>
        <w:spacing w:after="184"/>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0BCFD462">
      <w:pPr>
        <w:spacing w:after="153" w:line="265"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 </w:t>
      </w:r>
    </w:p>
    <w:tbl>
      <w:tblPr>
        <w:tblStyle w:val="31"/>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596A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3F136ECC">
            <w:pPr>
              <w:widowControl w:val="0"/>
              <w:spacing w:after="182"/>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tc>
        <w:tc>
          <w:tcPr>
            <w:tcW w:w="4810" w:type="dxa"/>
          </w:tcPr>
          <w:p w14:paraId="678E4E9D">
            <w:pPr>
              <w:widowControl w:val="0"/>
              <w:spacing w:after="182"/>
              <w:jc w:val="both"/>
              <w:rPr>
                <w:rFonts w:ascii="仿宋" w:hAnsi="仿宋" w:eastAsia="仿宋" w:cs="Times New Roman"/>
                <w:color w:val="auto"/>
                <w:sz w:val="24"/>
                <w:szCs w:val="24"/>
                <w:highlight w:val="none"/>
              </w:rPr>
            </w:pPr>
          </w:p>
        </w:tc>
      </w:tr>
    </w:tbl>
    <w:p w14:paraId="734623DF">
      <w:pPr>
        <w:spacing w:after="182"/>
        <w:rPr>
          <w:rFonts w:ascii="仿宋" w:hAnsi="仿宋" w:eastAsia="仿宋" w:cs="Times New Roman"/>
          <w:color w:val="auto"/>
          <w:sz w:val="24"/>
          <w:szCs w:val="24"/>
          <w:highlight w:val="none"/>
        </w:rPr>
      </w:pPr>
    </w:p>
    <w:p w14:paraId="64DB2908">
      <w:pPr>
        <w:spacing w:after="175"/>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46C1FDE2">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ab/>
      </w:r>
      <w:r>
        <w:rPr>
          <w:rFonts w:ascii="仿宋" w:hAnsi="仿宋" w:eastAsia="仿宋" w:cs="Times New Roman"/>
          <w:color w:val="auto"/>
          <w:sz w:val="24"/>
          <w:szCs w:val="24"/>
          <w:highlight w:val="none"/>
        </w:rPr>
        <w:t xml:space="preserve">                                    参选人：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val="single" w:color="000000"/>
        </w:rPr>
        <w:tab/>
      </w:r>
      <w:r>
        <w:rPr>
          <w:rFonts w:ascii="仿宋" w:hAnsi="仿宋" w:eastAsia="仿宋" w:cs="Times New Roman"/>
          <w:color w:val="auto"/>
          <w:sz w:val="24"/>
          <w:szCs w:val="24"/>
          <w:highlight w:val="none"/>
        </w:rPr>
        <w:t xml:space="preserve">（盖单位章） </w:t>
      </w:r>
    </w:p>
    <w:p w14:paraId="1B35A91C">
      <w:pPr>
        <w:spacing w:after="177"/>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74A56120">
      <w:pPr>
        <w:tabs>
          <w:tab w:val="left" w:pos="9020"/>
        </w:tabs>
        <w:spacing w:after="151"/>
        <w:ind w:left="10" w:right="340"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078BED2F">
      <w:pPr>
        <w:spacing w:after="192"/>
        <w:rPr>
          <w:rFonts w:ascii="仿宋" w:hAnsi="仿宋" w:eastAsia="仿宋" w:cs="Times New Roman"/>
          <w:color w:val="auto"/>
          <w:highlight w:val="none"/>
        </w:rPr>
      </w:pPr>
      <w:r>
        <w:rPr>
          <w:rFonts w:ascii="仿宋" w:hAnsi="仿宋" w:eastAsia="仿宋" w:cs="Times New Roman"/>
          <w:color w:val="auto"/>
          <w:sz w:val="20"/>
          <w:highlight w:val="none"/>
        </w:rPr>
        <w:t xml:space="preserve"> </w:t>
      </w:r>
    </w:p>
    <w:p w14:paraId="1E16CE69">
      <w:pPr>
        <w:spacing w:after="0"/>
        <w:ind w:right="1604"/>
        <w:jc w:val="right"/>
        <w:rPr>
          <w:rFonts w:ascii="仿宋" w:hAnsi="仿宋" w:eastAsia="仿宋" w:cs="Times New Roman"/>
          <w:color w:val="auto"/>
          <w:highlight w:val="none"/>
        </w:rPr>
      </w:pPr>
      <w:r>
        <w:rPr>
          <w:rFonts w:ascii="仿宋" w:hAnsi="仿宋" w:eastAsia="仿宋" w:cs="Times New Roman"/>
          <w:color w:val="auto"/>
          <w:sz w:val="20"/>
          <w:highlight w:val="none"/>
        </w:rPr>
        <w:t xml:space="preserve"> </w:t>
      </w:r>
      <w:r>
        <w:rPr>
          <w:rFonts w:ascii="仿宋" w:hAnsi="仿宋" w:eastAsia="仿宋" w:cs="Times New Roman"/>
          <w:color w:val="auto"/>
          <w:sz w:val="20"/>
          <w:highlight w:val="none"/>
        </w:rPr>
        <w:tab/>
      </w:r>
      <w:r>
        <w:rPr>
          <w:rFonts w:ascii="仿宋" w:hAnsi="仿宋" w:eastAsia="仿宋" w:cs="Times New Roman"/>
          <w:color w:val="auto"/>
          <w:sz w:val="20"/>
          <w:highlight w:val="none"/>
        </w:rPr>
        <w:t xml:space="preserve"> </w:t>
      </w:r>
    </w:p>
    <w:p w14:paraId="6BF95DAB">
      <w:pPr>
        <w:spacing w:after="0" w:line="240" w:lineRule="auto"/>
        <w:rPr>
          <w:rFonts w:ascii="仿宋" w:hAnsi="仿宋" w:eastAsia="仿宋" w:cs="Times New Roman"/>
          <w:color w:val="auto"/>
          <w:sz w:val="32"/>
          <w:highlight w:val="none"/>
        </w:rPr>
      </w:pPr>
      <w:r>
        <w:rPr>
          <w:rFonts w:ascii="仿宋" w:hAnsi="仿宋" w:eastAsia="仿宋" w:cs="Times New Roman"/>
          <w:color w:val="auto"/>
          <w:sz w:val="32"/>
          <w:highlight w:val="none"/>
        </w:rPr>
        <w:br w:type="page"/>
      </w:r>
    </w:p>
    <w:p w14:paraId="588B6CEB">
      <w:pPr>
        <w:pStyle w:val="5"/>
        <w:spacing w:after="0" w:line="360" w:lineRule="auto"/>
        <w:ind w:left="0" w:right="0" w:firstLine="0"/>
        <w:jc w:val="center"/>
        <w:rPr>
          <w:rFonts w:ascii="仿宋" w:hAnsi="仿宋" w:eastAsia="仿宋" w:cs="Times New Roman"/>
          <w:color w:val="auto"/>
          <w:sz w:val="32"/>
          <w:szCs w:val="32"/>
          <w:highlight w:val="none"/>
        </w:rPr>
      </w:pPr>
      <w:bookmarkStart w:id="45" w:name="_Toc13510"/>
      <w:bookmarkStart w:id="46" w:name="_Toc128141276"/>
      <w:bookmarkStart w:id="47" w:name="_Toc31483"/>
      <w:r>
        <w:rPr>
          <w:rFonts w:hint="eastAsia" w:ascii="仿宋" w:hAnsi="仿宋" w:eastAsia="仿宋" w:cs="Times New Roman"/>
          <w:color w:val="auto"/>
          <w:sz w:val="32"/>
          <w:szCs w:val="32"/>
          <w:highlight w:val="none"/>
        </w:rPr>
        <w:t>三、</w:t>
      </w:r>
      <w:r>
        <w:rPr>
          <w:rFonts w:ascii="仿宋" w:hAnsi="仿宋" w:eastAsia="仿宋" w:cs="Times New Roman"/>
          <w:color w:val="auto"/>
          <w:sz w:val="32"/>
          <w:szCs w:val="32"/>
          <w:highlight w:val="none"/>
        </w:rPr>
        <w:t>授权委托书</w:t>
      </w:r>
      <w:bookmarkEnd w:id="45"/>
      <w:bookmarkEnd w:id="46"/>
      <w:bookmarkEnd w:id="47"/>
    </w:p>
    <w:p w14:paraId="77DE60B0">
      <w:pPr>
        <w:spacing w:after="181"/>
        <w:rPr>
          <w:rFonts w:ascii="仿宋" w:hAnsi="仿宋" w:eastAsia="仿宋" w:cs="Times New Roman"/>
          <w:color w:val="auto"/>
          <w:sz w:val="24"/>
          <w:szCs w:val="24"/>
          <w:highlight w:val="none"/>
        </w:rPr>
      </w:pPr>
      <w:r>
        <w:rPr>
          <w:rFonts w:ascii="仿宋" w:hAnsi="仿宋" w:eastAsia="仿宋" w:cs="Times New Roman"/>
          <w:color w:val="auto"/>
          <w:sz w:val="21"/>
          <w:highlight w:val="none"/>
        </w:rPr>
        <w:t xml:space="preserve"> </w:t>
      </w:r>
    </w:p>
    <w:p w14:paraId="293040AB">
      <w:pPr>
        <w:spacing w:after="30" w:line="369" w:lineRule="auto"/>
        <w:ind w:right="197" w:firstLine="480" w:firstLineChars="200"/>
        <w:jc w:val="both"/>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（参选人名称）的单位负责人，现委托</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（姓名）为我方代理人。代理人根据授权，以我方名义签署、澄清确认、递交、撤回、修改</w:t>
      </w:r>
      <w:r>
        <w:rPr>
          <w:rFonts w:ascii="仿宋" w:hAnsi="仿宋" w:eastAsia="仿宋" w:cs="Times New Roman"/>
          <w:b/>
          <w:bCs/>
          <w:color w:val="auto"/>
          <w:sz w:val="24"/>
          <w:szCs w:val="24"/>
          <w:highlight w:val="none"/>
          <w:u w:val="single"/>
        </w:rPr>
        <w:t>四川蜀物兴川物流发展有限公司</w:t>
      </w:r>
      <w:r>
        <w:rPr>
          <w:rFonts w:hint="eastAsia" w:ascii="仿宋" w:hAnsi="仿宋" w:eastAsia="仿宋" w:cs="Times New Roman"/>
          <w:b/>
          <w:bCs/>
          <w:color w:val="auto"/>
          <w:sz w:val="24"/>
          <w:szCs w:val="24"/>
          <w:highlight w:val="none"/>
          <w:u w:val="single"/>
          <w:lang w:val="en-US" w:eastAsia="zh-CN"/>
        </w:rPr>
        <w:t>关于与江苏某2家国有企业买卖合同纠纷法律服务</w:t>
      </w:r>
      <w:r>
        <w:rPr>
          <w:rFonts w:ascii="仿宋" w:hAnsi="仿宋" w:eastAsia="仿宋" w:cs="Times New Roman"/>
          <w:b/>
          <w:bCs/>
          <w:color w:val="auto"/>
          <w:sz w:val="24"/>
          <w:szCs w:val="24"/>
          <w:highlight w:val="none"/>
          <w:u w:val="single"/>
        </w:rPr>
        <w:t>项目</w:t>
      </w:r>
      <w:r>
        <w:rPr>
          <w:rFonts w:ascii="仿宋" w:hAnsi="仿宋" w:eastAsia="仿宋" w:cs="Times New Roman"/>
          <w:color w:val="auto"/>
          <w:sz w:val="24"/>
          <w:szCs w:val="24"/>
          <w:highlight w:val="none"/>
        </w:rPr>
        <w:t xml:space="preserve">比选响应文件、签订合同和处理有关事宜，其法律后果由我方承担。 </w:t>
      </w:r>
    </w:p>
    <w:p w14:paraId="3B2D95D8">
      <w:pPr>
        <w:spacing w:after="149" w:line="265" w:lineRule="auto"/>
        <w:ind w:right="103"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委托期限：自本授权委托书签署之日起至比选文件约定的“比选有效期”结束为止。 </w:t>
      </w:r>
    </w:p>
    <w:p w14:paraId="5EDA625F">
      <w:pPr>
        <w:spacing w:after="153" w:line="265" w:lineRule="auto"/>
        <w:ind w:left="430"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代理人无转委托权。 </w:t>
      </w:r>
    </w:p>
    <w:p w14:paraId="7AFCCDB8">
      <w:pPr>
        <w:spacing w:after="184"/>
        <w:ind w:left="42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4F6D0BAC">
      <w:pPr>
        <w:spacing w:after="153" w:line="265"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附：单位负责人身份证复印件及委托代理人身份证复印件 </w:t>
      </w:r>
    </w:p>
    <w:p w14:paraId="25659AAE">
      <w:pPr>
        <w:spacing w:after="182"/>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45EBCCD8">
      <w:pPr>
        <w:spacing w:after="0" w:line="265" w:lineRule="auto"/>
        <w:ind w:left="-5" w:right="103" w:hanging="1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注：本授权委托书需由参选人加盖单位公章并由其单位负责人和委托代理人签字。 </w:t>
      </w:r>
    </w:p>
    <w:p w14:paraId="021E46D3">
      <w:pPr>
        <w:spacing w:after="151"/>
        <w:ind w:left="10" w:right="202"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 xml:space="preserve">     </w:t>
      </w:r>
    </w:p>
    <w:p w14:paraId="5E8FC3A6">
      <w:pPr>
        <w:spacing w:after="151"/>
        <w:ind w:left="10" w:right="202" w:hanging="10"/>
        <w:jc w:val="right"/>
        <w:rPr>
          <w:rFonts w:ascii="仿宋" w:hAnsi="仿宋" w:eastAsia="仿宋" w:cs="Times New Roman"/>
          <w:color w:val="auto"/>
          <w:sz w:val="24"/>
          <w:szCs w:val="24"/>
          <w:highlight w:val="none"/>
        </w:rPr>
      </w:pPr>
    </w:p>
    <w:p w14:paraId="4C519D95">
      <w:pPr>
        <w:spacing w:after="151"/>
        <w:ind w:left="10" w:right="198" w:hanging="10"/>
        <w:jc w:val="right"/>
        <w:rPr>
          <w:rFonts w:ascii="仿宋" w:hAnsi="仿宋" w:eastAsia="仿宋" w:cs="Times New Roman"/>
          <w:color w:val="auto"/>
          <w:sz w:val="24"/>
          <w:szCs w:val="24"/>
          <w:highlight w:val="none"/>
          <w:u w:val="single" w:color="000000"/>
        </w:rPr>
      </w:pPr>
      <w:bookmarkStart w:id="48" w:name="_Hlk58923230"/>
      <w:r>
        <w:rPr>
          <w:rFonts w:ascii="仿宋" w:hAnsi="仿宋" w:eastAsia="仿宋" w:cs="Times New Roman"/>
          <w:color w:val="auto"/>
          <w:sz w:val="24"/>
          <w:szCs w:val="24"/>
          <w:highlight w:val="none"/>
          <w:u w:color="000000"/>
        </w:rPr>
        <w:t>参  选  人：</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（盖章）</w:t>
      </w:r>
    </w:p>
    <w:p w14:paraId="72174BA5">
      <w:pPr>
        <w:wordWrap w:val="0"/>
        <w:spacing w:after="151"/>
        <w:ind w:left="10" w:right="198" w:hanging="10"/>
        <w:jc w:val="right"/>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单位负责人：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签字）</w:t>
      </w:r>
    </w:p>
    <w:p w14:paraId="02BDF613">
      <w:pPr>
        <w:wordWrap w:val="0"/>
        <w:spacing w:after="151"/>
        <w:ind w:left="10" w:right="198" w:hanging="10"/>
        <w:jc w:val="right"/>
        <w:rPr>
          <w:rFonts w:ascii="仿宋" w:hAnsi="仿宋" w:eastAsia="仿宋" w:cs="Times New Roman"/>
          <w:color w:val="auto"/>
          <w:sz w:val="24"/>
          <w:szCs w:val="24"/>
          <w:highlight w:val="none"/>
          <w:u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p>
    <w:p w14:paraId="4C95F76A">
      <w:pPr>
        <w:wordWrap w:val="0"/>
        <w:spacing w:after="151"/>
        <w:ind w:left="10" w:right="198" w:hanging="10"/>
        <w:jc w:val="right"/>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color="000000"/>
        </w:rPr>
        <w:t xml:space="preserve">委托代理人： </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u w:color="000000"/>
        </w:rPr>
        <w:t>（签字）</w:t>
      </w:r>
    </w:p>
    <w:p w14:paraId="30418669">
      <w:pPr>
        <w:wordWrap w:val="0"/>
        <w:spacing w:after="151"/>
        <w:ind w:left="10" w:right="198" w:hanging="10"/>
        <w:jc w:val="right"/>
        <w:rPr>
          <w:rFonts w:ascii="仿宋" w:hAnsi="仿宋" w:eastAsia="仿宋" w:cs="Times New Roman"/>
          <w:color w:val="auto"/>
          <w:sz w:val="24"/>
          <w:szCs w:val="24"/>
          <w:highlight w:val="none"/>
          <w:u w:color="000000"/>
        </w:rPr>
      </w:pPr>
      <w:r>
        <w:rPr>
          <w:rFonts w:ascii="仿宋" w:hAnsi="仿宋" w:eastAsia="仿宋" w:cs="Times New Roman"/>
          <w:color w:val="auto"/>
          <w:sz w:val="24"/>
          <w:szCs w:val="24"/>
          <w:highlight w:val="none"/>
          <w:u w:color="000000"/>
        </w:rPr>
        <w:t>身份证号码：</w:t>
      </w:r>
      <w:r>
        <w:rPr>
          <w:rFonts w:ascii="仿宋" w:hAnsi="仿宋" w:eastAsia="仿宋" w:cs="Times New Roman"/>
          <w:color w:val="auto"/>
          <w:sz w:val="24"/>
          <w:szCs w:val="24"/>
          <w:highlight w:val="none"/>
          <w:u w:val="single" w:color="000000"/>
        </w:rPr>
        <w:t xml:space="preserve">                                                       </w:t>
      </w:r>
    </w:p>
    <w:bookmarkEnd w:id="48"/>
    <w:p w14:paraId="5CCE4003">
      <w:pPr>
        <w:spacing w:after="151"/>
        <w:ind w:left="10" w:right="202" w:hanging="10"/>
        <w:jc w:val="right"/>
        <w:rPr>
          <w:rFonts w:ascii="仿宋" w:hAnsi="仿宋" w:eastAsia="仿宋" w:cs="Times New Roman"/>
          <w:color w:val="auto"/>
          <w:sz w:val="24"/>
          <w:szCs w:val="24"/>
          <w:highlight w:val="none"/>
          <w:u w:val="single" w:color="000000"/>
        </w:rPr>
      </w:pPr>
    </w:p>
    <w:p w14:paraId="6F7A9312">
      <w:pPr>
        <w:spacing w:after="151"/>
        <w:ind w:left="10" w:right="202" w:hanging="10"/>
        <w:jc w:val="right"/>
        <w:rPr>
          <w:rFonts w:ascii="仿宋" w:hAnsi="仿宋" w:eastAsia="仿宋" w:cs="Times New Roman"/>
          <w:color w:val="auto"/>
          <w:sz w:val="24"/>
          <w:szCs w:val="24"/>
          <w:highlight w:val="none"/>
          <w:u w:val="single" w:color="000000"/>
        </w:rPr>
      </w:pPr>
      <w:r>
        <w:rPr>
          <w:rFonts w:ascii="仿宋" w:hAnsi="仿宋" w:eastAsia="仿宋" w:cs="Times New Roman"/>
          <w:color w:val="auto"/>
          <w:sz w:val="24"/>
          <w:szCs w:val="24"/>
          <w:highlight w:val="none"/>
          <w:u w:val="single" w:color="000000"/>
        </w:rPr>
        <w:t xml:space="preserve">                                                              </w:t>
      </w:r>
    </w:p>
    <w:p w14:paraId="4C690D87">
      <w:pPr>
        <w:spacing w:after="151"/>
        <w:ind w:left="10" w:right="202" w:hanging="10"/>
        <w:jc w:val="righ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color="000000"/>
        </w:rPr>
        <w:t xml:space="preserve">       </w:t>
      </w:r>
      <w:r>
        <w:rPr>
          <w:rFonts w:ascii="仿宋" w:hAnsi="仿宋" w:eastAsia="仿宋" w:cs="Times New Roman"/>
          <w:color w:val="auto"/>
          <w:sz w:val="24"/>
          <w:szCs w:val="24"/>
          <w:highlight w:val="none"/>
        </w:rPr>
        <w:t xml:space="preserve">日 </w:t>
      </w:r>
    </w:p>
    <w:p w14:paraId="20479CE1">
      <w:pPr>
        <w:spacing w:after="0" w:line="240" w:lineRule="auto"/>
        <w:rPr>
          <w:rFonts w:ascii="仿宋" w:hAnsi="仿宋" w:eastAsia="仿宋" w:cs="Times New Roman"/>
          <w:color w:val="auto"/>
          <w:sz w:val="32"/>
          <w:highlight w:val="none"/>
        </w:rPr>
      </w:pPr>
      <w:r>
        <w:rPr>
          <w:rFonts w:ascii="仿宋" w:hAnsi="仿宋" w:eastAsia="仿宋" w:cs="Times New Roman"/>
          <w:color w:val="auto"/>
          <w:sz w:val="32"/>
          <w:highlight w:val="none"/>
        </w:rPr>
        <w:br w:type="page"/>
      </w:r>
    </w:p>
    <w:p w14:paraId="29353F8A">
      <w:pPr>
        <w:pStyle w:val="5"/>
        <w:spacing w:after="0" w:line="360" w:lineRule="auto"/>
        <w:ind w:left="0" w:right="0" w:firstLine="0"/>
        <w:jc w:val="center"/>
        <w:rPr>
          <w:rFonts w:ascii="仿宋" w:hAnsi="仿宋" w:eastAsia="仿宋" w:cs="Times New Roman"/>
          <w:color w:val="auto"/>
          <w:sz w:val="32"/>
          <w:highlight w:val="none"/>
        </w:rPr>
        <w:sectPr>
          <w:footerReference r:id="rId9" w:type="default"/>
          <w:pgSz w:w="12240" w:h="15840"/>
          <w:pgMar w:top="2098" w:right="1474" w:bottom="1984" w:left="1587" w:header="720" w:footer="720" w:gutter="0"/>
          <w:cols w:space="720" w:num="1"/>
        </w:sectPr>
      </w:pPr>
      <w:bookmarkStart w:id="49" w:name="_Toc128141277"/>
      <w:bookmarkStart w:id="50" w:name="_Toc16491"/>
      <w:bookmarkStart w:id="51" w:name="_Toc19029"/>
    </w:p>
    <w:bookmarkEnd w:id="49"/>
    <w:bookmarkEnd w:id="50"/>
    <w:bookmarkEnd w:id="51"/>
    <w:p w14:paraId="1480193B">
      <w:pPr>
        <w:pStyle w:val="5"/>
        <w:spacing w:after="0" w:line="360" w:lineRule="auto"/>
        <w:ind w:left="0" w:right="0" w:firstLine="0"/>
        <w:jc w:val="center"/>
        <w:rPr>
          <w:rFonts w:ascii="仿宋" w:hAnsi="仿宋" w:eastAsia="仿宋" w:cs="Times New Roman"/>
          <w:color w:val="auto"/>
          <w:sz w:val="32"/>
          <w:szCs w:val="32"/>
          <w:highlight w:val="none"/>
        </w:rPr>
      </w:pPr>
      <w:bookmarkStart w:id="52" w:name="_Toc128141278"/>
      <w:bookmarkStart w:id="53" w:name="_Toc3651"/>
      <w:bookmarkStart w:id="54" w:name="_Toc25804"/>
      <w:r>
        <w:rPr>
          <w:rFonts w:hint="eastAsia" w:ascii="仿宋" w:hAnsi="仿宋" w:eastAsia="仿宋" w:cs="Times New Roman"/>
          <w:color w:val="auto"/>
          <w:sz w:val="32"/>
          <w:szCs w:val="32"/>
          <w:highlight w:val="none"/>
        </w:rPr>
        <w:t>四、</w:t>
      </w:r>
      <w:r>
        <w:rPr>
          <w:rFonts w:ascii="仿宋" w:hAnsi="仿宋" w:eastAsia="仿宋" w:cs="Times New Roman"/>
          <w:color w:val="auto"/>
          <w:sz w:val="32"/>
          <w:szCs w:val="32"/>
          <w:highlight w:val="none"/>
        </w:rPr>
        <w:t>资格审查资料</w:t>
      </w:r>
      <w:bookmarkEnd w:id="52"/>
      <w:bookmarkEnd w:id="53"/>
      <w:bookmarkEnd w:id="54"/>
    </w:p>
    <w:p w14:paraId="1154A994">
      <w:pPr>
        <w:pStyle w:val="7"/>
        <w:spacing w:after="0"/>
        <w:ind w:left="132" w:right="0"/>
        <w:jc w:val="center"/>
        <w:rPr>
          <w:rFonts w:ascii="仿宋" w:hAnsi="仿宋" w:eastAsia="仿宋" w:cs="仿宋_GB2312"/>
          <w:b/>
          <w:bCs/>
          <w:color w:val="auto"/>
          <w:highlight w:val="none"/>
        </w:rPr>
      </w:pPr>
      <w:bookmarkStart w:id="55" w:name="_Toc128141279"/>
      <w:bookmarkStart w:id="56" w:name="_Toc19366"/>
      <w:bookmarkStart w:id="57" w:name="_Toc16506"/>
      <w:r>
        <w:rPr>
          <w:rFonts w:hint="eastAsia" w:ascii="仿宋" w:hAnsi="仿宋" w:eastAsia="仿宋" w:cs="仿宋_GB2312"/>
          <w:b/>
          <w:bCs/>
          <w:color w:val="auto"/>
          <w:highlight w:val="none"/>
        </w:rPr>
        <w:t>（一）基本情况表</w:t>
      </w:r>
      <w:bookmarkEnd w:id="55"/>
      <w:bookmarkEnd w:id="56"/>
      <w:bookmarkEnd w:id="57"/>
    </w:p>
    <w:tbl>
      <w:tblPr>
        <w:tblStyle w:val="45"/>
        <w:tblW w:w="8587" w:type="dxa"/>
        <w:jc w:val="center"/>
        <w:tblLayout w:type="autofit"/>
        <w:tblCellMar>
          <w:top w:w="0" w:type="dxa"/>
          <w:left w:w="108" w:type="dxa"/>
          <w:bottom w:w="46" w:type="dxa"/>
          <w:right w:w="43" w:type="dxa"/>
        </w:tblCellMar>
      </w:tblPr>
      <w:tblGrid>
        <w:gridCol w:w="2581"/>
        <w:gridCol w:w="945"/>
        <w:gridCol w:w="1795"/>
        <w:gridCol w:w="1202"/>
        <w:gridCol w:w="2064"/>
      </w:tblGrid>
      <w:tr w14:paraId="2C41CD4F">
        <w:tblPrEx>
          <w:tblCellMar>
            <w:top w:w="0" w:type="dxa"/>
            <w:left w:w="108" w:type="dxa"/>
            <w:bottom w:w="46" w:type="dxa"/>
            <w:right w:w="43" w:type="dxa"/>
          </w:tblCellMar>
        </w:tblPrEx>
        <w:trPr>
          <w:trHeight w:val="756"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7FA4EA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参选人名称</w:t>
            </w:r>
          </w:p>
        </w:tc>
        <w:tc>
          <w:tcPr>
            <w:tcW w:w="6006" w:type="dxa"/>
            <w:gridSpan w:val="4"/>
            <w:tcBorders>
              <w:top w:val="single" w:color="000000" w:sz="4" w:space="0"/>
              <w:left w:val="single" w:color="000000" w:sz="4" w:space="0"/>
              <w:bottom w:val="single" w:color="000000" w:sz="4" w:space="0"/>
              <w:right w:val="single" w:color="000000" w:sz="4" w:space="0"/>
            </w:tcBorders>
          </w:tcPr>
          <w:p w14:paraId="58A77BB6">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r w14:paraId="6485C9FF">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36E218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统一社会信用编码</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6308D2A4">
            <w:pPr>
              <w:spacing w:after="0" w:line="320" w:lineRule="exact"/>
              <w:jc w:val="center"/>
              <w:rPr>
                <w:rFonts w:ascii="仿宋" w:hAnsi="仿宋" w:eastAsia="仿宋" w:cs="Times New Roman"/>
                <w:color w:val="auto"/>
                <w:sz w:val="21"/>
                <w:szCs w:val="21"/>
                <w:highlight w:val="none"/>
              </w:rPr>
            </w:pPr>
          </w:p>
        </w:tc>
      </w:tr>
      <w:tr w14:paraId="27341B0E">
        <w:tblPrEx>
          <w:tblCellMar>
            <w:top w:w="0" w:type="dxa"/>
            <w:left w:w="108" w:type="dxa"/>
            <w:bottom w:w="46" w:type="dxa"/>
            <w:right w:w="43" w:type="dxa"/>
          </w:tblCellMar>
        </w:tblPrEx>
        <w:trPr>
          <w:trHeight w:val="788"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BA33578">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成立日期</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F4723C5">
            <w:pPr>
              <w:spacing w:after="0" w:line="320" w:lineRule="exact"/>
              <w:jc w:val="center"/>
              <w:rPr>
                <w:rFonts w:ascii="仿宋" w:hAnsi="仿宋" w:eastAsia="仿宋" w:cs="Times New Roman"/>
                <w:color w:val="auto"/>
                <w:sz w:val="21"/>
                <w:szCs w:val="21"/>
                <w:highlight w:val="none"/>
              </w:rPr>
            </w:pPr>
          </w:p>
        </w:tc>
      </w:tr>
      <w:tr w14:paraId="6FE65833">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4FE9D70">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注册地址</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6EA91C1">
            <w:pPr>
              <w:spacing w:after="0" w:line="320" w:lineRule="exact"/>
              <w:jc w:val="center"/>
              <w:rPr>
                <w:rFonts w:ascii="仿宋" w:hAnsi="仿宋" w:eastAsia="仿宋" w:cs="Times New Roman"/>
                <w:color w:val="auto"/>
                <w:sz w:val="21"/>
                <w:szCs w:val="21"/>
                <w:highlight w:val="none"/>
              </w:rPr>
            </w:pPr>
          </w:p>
        </w:tc>
      </w:tr>
      <w:tr w14:paraId="252F21ED">
        <w:tblPrEx>
          <w:tblCellMar>
            <w:top w:w="0" w:type="dxa"/>
            <w:left w:w="108" w:type="dxa"/>
            <w:bottom w:w="46" w:type="dxa"/>
            <w:right w:w="43" w:type="dxa"/>
          </w:tblCellMar>
        </w:tblPrEx>
        <w:trPr>
          <w:trHeight w:val="541"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72D29A7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注册资本</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147D4790">
            <w:pPr>
              <w:spacing w:after="0" w:line="320" w:lineRule="exact"/>
              <w:jc w:val="center"/>
              <w:rPr>
                <w:rFonts w:ascii="仿宋" w:hAnsi="仿宋" w:eastAsia="仿宋" w:cs="Times New Roman"/>
                <w:color w:val="auto"/>
                <w:sz w:val="21"/>
                <w:szCs w:val="21"/>
                <w:highlight w:val="none"/>
              </w:rPr>
            </w:pPr>
          </w:p>
        </w:tc>
      </w:tr>
      <w:tr w14:paraId="657BB281">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1C3546E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专职律师人数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42EEFD64">
            <w:pPr>
              <w:spacing w:after="0" w:line="320" w:lineRule="exact"/>
              <w:jc w:val="center"/>
              <w:rPr>
                <w:rFonts w:ascii="仿宋" w:hAnsi="仿宋" w:eastAsia="仿宋" w:cs="Times New Roman"/>
                <w:color w:val="auto"/>
                <w:sz w:val="21"/>
                <w:szCs w:val="21"/>
                <w:highlight w:val="none"/>
              </w:rPr>
            </w:pPr>
          </w:p>
        </w:tc>
      </w:tr>
      <w:tr w14:paraId="66019D2C">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557BDC2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基本账户开户银行</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0BB97D1E">
            <w:pPr>
              <w:spacing w:after="0" w:line="320" w:lineRule="exact"/>
              <w:jc w:val="center"/>
              <w:rPr>
                <w:rFonts w:ascii="仿宋" w:hAnsi="仿宋" w:eastAsia="仿宋" w:cs="Times New Roman"/>
                <w:color w:val="auto"/>
                <w:sz w:val="21"/>
                <w:szCs w:val="21"/>
                <w:highlight w:val="none"/>
              </w:rPr>
            </w:pPr>
          </w:p>
        </w:tc>
      </w:tr>
      <w:tr w14:paraId="74DFC957">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66F7807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基本账户银行账号</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400758A0">
            <w:pPr>
              <w:spacing w:after="0" w:line="320" w:lineRule="exact"/>
              <w:jc w:val="center"/>
              <w:rPr>
                <w:rFonts w:ascii="仿宋" w:hAnsi="仿宋" w:eastAsia="仿宋" w:cs="Times New Roman"/>
                <w:color w:val="auto"/>
                <w:sz w:val="21"/>
                <w:szCs w:val="21"/>
                <w:highlight w:val="none"/>
              </w:rPr>
            </w:pPr>
          </w:p>
        </w:tc>
      </w:tr>
      <w:tr w14:paraId="3EC32C54">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483BF8E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律所荣誉</w:t>
            </w:r>
          </w:p>
          <w:p w14:paraId="3FC992B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6006" w:type="dxa"/>
            <w:gridSpan w:val="4"/>
            <w:tcBorders>
              <w:top w:val="single" w:color="000000" w:sz="4" w:space="0"/>
              <w:left w:val="single" w:color="000000" w:sz="4" w:space="0"/>
              <w:bottom w:val="single" w:color="000000" w:sz="4" w:space="0"/>
              <w:right w:val="single" w:color="000000" w:sz="4" w:space="0"/>
            </w:tcBorders>
            <w:vAlign w:val="center"/>
          </w:tcPr>
          <w:p w14:paraId="330E1833">
            <w:pPr>
              <w:spacing w:after="0" w:line="320" w:lineRule="exact"/>
              <w:jc w:val="center"/>
              <w:rPr>
                <w:rFonts w:ascii="仿宋" w:hAnsi="仿宋" w:eastAsia="仿宋" w:cs="Times New Roman"/>
                <w:color w:val="auto"/>
                <w:sz w:val="21"/>
                <w:szCs w:val="21"/>
                <w:highlight w:val="none"/>
              </w:rPr>
            </w:pPr>
          </w:p>
        </w:tc>
      </w:tr>
      <w:tr w14:paraId="230922BB">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6088572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单位负责人</w:t>
            </w:r>
          </w:p>
        </w:tc>
        <w:tc>
          <w:tcPr>
            <w:tcW w:w="945" w:type="dxa"/>
            <w:tcBorders>
              <w:top w:val="single" w:color="000000" w:sz="4" w:space="0"/>
              <w:left w:val="single" w:color="000000" w:sz="4" w:space="0"/>
              <w:bottom w:val="single" w:color="000000" w:sz="4" w:space="0"/>
              <w:right w:val="single" w:color="000000" w:sz="4" w:space="0"/>
            </w:tcBorders>
            <w:vAlign w:val="center"/>
          </w:tcPr>
          <w:p w14:paraId="6984355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0FFEC045">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3B22C7F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405F4C91">
            <w:pPr>
              <w:spacing w:after="0" w:line="320" w:lineRule="exact"/>
              <w:jc w:val="center"/>
              <w:rPr>
                <w:rFonts w:ascii="仿宋" w:hAnsi="仿宋" w:eastAsia="仿宋" w:cs="Times New Roman"/>
                <w:color w:val="auto"/>
                <w:sz w:val="21"/>
                <w:szCs w:val="21"/>
                <w:highlight w:val="none"/>
              </w:rPr>
            </w:pPr>
          </w:p>
        </w:tc>
      </w:tr>
      <w:tr w14:paraId="7CCDF42D">
        <w:tblPrEx>
          <w:tblCellMar>
            <w:top w:w="0" w:type="dxa"/>
            <w:left w:w="108" w:type="dxa"/>
            <w:bottom w:w="46" w:type="dxa"/>
            <w:right w:w="43" w:type="dxa"/>
          </w:tblCellMar>
        </w:tblPrEx>
        <w:trPr>
          <w:trHeight w:val="79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3086216C">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24BCFCA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0134A8E0">
            <w:pPr>
              <w:spacing w:after="0" w:line="320" w:lineRule="exact"/>
              <w:jc w:val="center"/>
              <w:rPr>
                <w:rFonts w:ascii="仿宋" w:hAnsi="仿宋" w:eastAsia="仿宋" w:cs="Times New Roman"/>
                <w:color w:val="auto"/>
                <w:sz w:val="21"/>
                <w:szCs w:val="21"/>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5C3F3A9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电 话</w:t>
            </w:r>
          </w:p>
        </w:tc>
        <w:tc>
          <w:tcPr>
            <w:tcW w:w="2064" w:type="dxa"/>
            <w:tcBorders>
              <w:top w:val="single" w:color="000000" w:sz="4" w:space="0"/>
              <w:left w:val="single" w:color="000000" w:sz="4" w:space="0"/>
              <w:bottom w:val="single" w:color="000000" w:sz="4" w:space="0"/>
              <w:right w:val="single" w:color="000000" w:sz="4" w:space="0"/>
            </w:tcBorders>
            <w:vAlign w:val="center"/>
          </w:tcPr>
          <w:p w14:paraId="00B6B86E">
            <w:pPr>
              <w:spacing w:after="0" w:line="320" w:lineRule="exact"/>
              <w:jc w:val="center"/>
              <w:rPr>
                <w:rFonts w:ascii="仿宋" w:hAnsi="仿宋" w:eastAsia="仿宋" w:cs="Times New Roman"/>
                <w:color w:val="auto"/>
                <w:sz w:val="21"/>
                <w:szCs w:val="21"/>
                <w:highlight w:val="none"/>
              </w:rPr>
            </w:pPr>
          </w:p>
        </w:tc>
      </w:tr>
      <w:tr w14:paraId="4F6E28E4">
        <w:tblPrEx>
          <w:tblCellMar>
            <w:top w:w="0" w:type="dxa"/>
            <w:left w:w="108" w:type="dxa"/>
            <w:bottom w:w="46" w:type="dxa"/>
            <w:right w:w="43" w:type="dxa"/>
          </w:tblCellMar>
        </w:tblPrEx>
        <w:trPr>
          <w:trHeight w:val="662"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14:paraId="041D669A">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备注</w:t>
            </w:r>
          </w:p>
        </w:tc>
        <w:tc>
          <w:tcPr>
            <w:tcW w:w="6006" w:type="dxa"/>
            <w:gridSpan w:val="4"/>
            <w:tcBorders>
              <w:top w:val="single" w:color="000000" w:sz="4" w:space="0"/>
              <w:left w:val="single" w:color="000000" w:sz="4" w:space="0"/>
              <w:bottom w:val="single" w:color="000000" w:sz="4" w:space="0"/>
              <w:right w:val="single" w:color="000000" w:sz="4" w:space="0"/>
            </w:tcBorders>
          </w:tcPr>
          <w:p w14:paraId="76F5D15F">
            <w:pPr>
              <w:spacing w:after="0" w:line="320" w:lineRule="exact"/>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 xml:space="preserve"> </w:t>
            </w:r>
          </w:p>
        </w:tc>
      </w:tr>
    </w:tbl>
    <w:p w14:paraId="50238493">
      <w:pPr>
        <w:spacing w:after="22" w:line="374" w:lineRule="auto"/>
        <w:ind w:left="194" w:leftChars="88" w:right="103" w:firstLine="409" w:firstLineChars="195"/>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注：1.参选人应在本表后附律所执业许可证。 </w:t>
      </w:r>
    </w:p>
    <w:p w14:paraId="7DA1DBC2">
      <w:pPr>
        <w:spacing w:after="22" w:line="374" w:lineRule="auto"/>
        <w:ind w:left="-5" w:right="103" w:hanging="10"/>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 xml:space="preserve">          2.参选人在本表后附本律所荣誉证书（如有）。</w:t>
      </w:r>
    </w:p>
    <w:p w14:paraId="457891F2">
      <w:pPr>
        <w:spacing w:after="22" w:line="374" w:lineRule="auto"/>
        <w:ind w:right="103" w:firstLine="1050" w:firstLineChars="500"/>
        <w:rPr>
          <w:rFonts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3.本表需加盖单位公章。</w:t>
      </w:r>
    </w:p>
    <w:p w14:paraId="3D83BD1E">
      <w:pPr>
        <w:spacing w:after="0" w:line="240" w:lineRule="auto"/>
        <w:jc w:val="center"/>
        <w:rPr>
          <w:rFonts w:ascii="仿宋" w:hAnsi="仿宋" w:eastAsia="仿宋" w:cs="Times New Roman"/>
          <w:color w:val="auto"/>
          <w:sz w:val="21"/>
          <w:highlight w:val="none"/>
        </w:rPr>
      </w:pPr>
      <w:bookmarkStart w:id="58" w:name="_Toc13608"/>
      <w:bookmarkStart w:id="59" w:name="_Toc9575"/>
      <w:r>
        <w:rPr>
          <w:rFonts w:ascii="仿宋" w:hAnsi="仿宋" w:eastAsia="仿宋" w:cs="Times New Roman"/>
          <w:color w:val="auto"/>
          <w:sz w:val="21"/>
          <w:highlight w:val="none"/>
        </w:rPr>
        <w:br w:type="page"/>
      </w:r>
      <w:bookmarkEnd w:id="58"/>
      <w:bookmarkEnd w:id="59"/>
      <w:bookmarkStart w:id="60" w:name="_Toc123682"/>
    </w:p>
    <w:p w14:paraId="2F9079EF">
      <w:pPr>
        <w:pStyle w:val="8"/>
        <w:spacing w:after="0" w:line="360" w:lineRule="auto"/>
        <w:ind w:left="0" w:right="0"/>
        <w:jc w:val="center"/>
        <w:rPr>
          <w:rFonts w:ascii="仿宋" w:hAnsi="仿宋" w:eastAsia="仿宋" w:cs="Times New Roman"/>
          <w:b/>
          <w:color w:val="auto"/>
          <w:highlight w:val="none"/>
        </w:rPr>
        <w:sectPr>
          <w:pgSz w:w="12240" w:h="15840"/>
          <w:pgMar w:top="1417" w:right="1474" w:bottom="1417" w:left="1587" w:header="720" w:footer="720" w:gutter="0"/>
          <w:cols w:space="720" w:num="1"/>
        </w:sectPr>
      </w:pPr>
    </w:p>
    <w:p w14:paraId="13EEF350">
      <w:pPr>
        <w:pStyle w:val="7"/>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（二）律所业绩汇总表</w:t>
      </w:r>
    </w:p>
    <w:tbl>
      <w:tblPr>
        <w:tblStyle w:val="30"/>
        <w:tblW w:w="13009" w:type="dxa"/>
        <w:jc w:val="center"/>
        <w:tblLayout w:type="fixed"/>
        <w:tblCellMar>
          <w:top w:w="0" w:type="dxa"/>
          <w:left w:w="110" w:type="dxa"/>
          <w:bottom w:w="46" w:type="dxa"/>
          <w:right w:w="60" w:type="dxa"/>
        </w:tblCellMar>
      </w:tblPr>
      <w:tblGrid>
        <w:gridCol w:w="770"/>
        <w:gridCol w:w="2197"/>
        <w:gridCol w:w="1613"/>
        <w:gridCol w:w="3330"/>
        <w:gridCol w:w="2340"/>
        <w:gridCol w:w="1683"/>
        <w:gridCol w:w="1076"/>
      </w:tblGrid>
      <w:tr w14:paraId="1C678E2C">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vAlign w:val="center"/>
          </w:tcPr>
          <w:p w14:paraId="50F8F478">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w:t>
            </w:r>
            <w:r>
              <w:rPr>
                <w:rFonts w:hint="eastAsia" w:ascii="仿宋" w:hAnsi="仿宋" w:eastAsia="仿宋" w:cs="Times New Roman"/>
                <w:color w:val="auto"/>
                <w:sz w:val="21"/>
                <w:szCs w:val="21"/>
                <w:highlight w:val="none"/>
              </w:rPr>
              <w:t xml:space="preserve">  </w:t>
            </w:r>
            <w:r>
              <w:rPr>
                <w:rFonts w:ascii="仿宋" w:hAnsi="仿宋" w:eastAsia="仿宋" w:cs="Times New Roman"/>
                <w:color w:val="auto"/>
                <w:sz w:val="21"/>
                <w:szCs w:val="21"/>
                <w:highlight w:val="none"/>
              </w:rPr>
              <w:t>号</w:t>
            </w:r>
          </w:p>
        </w:tc>
        <w:tc>
          <w:tcPr>
            <w:tcW w:w="2197" w:type="dxa"/>
            <w:tcBorders>
              <w:top w:val="single" w:color="auto" w:sz="4" w:space="0"/>
              <w:left w:val="single" w:color="auto" w:sz="4" w:space="0"/>
              <w:bottom w:val="single" w:color="auto" w:sz="4" w:space="0"/>
              <w:right w:val="single" w:color="auto" w:sz="4" w:space="0"/>
            </w:tcBorders>
            <w:vAlign w:val="center"/>
          </w:tcPr>
          <w:p w14:paraId="79C7771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客户名称</w:t>
            </w:r>
          </w:p>
        </w:tc>
        <w:tc>
          <w:tcPr>
            <w:tcW w:w="1613" w:type="dxa"/>
            <w:tcBorders>
              <w:top w:val="single" w:color="auto" w:sz="4" w:space="0"/>
              <w:left w:val="single" w:color="auto" w:sz="4" w:space="0"/>
              <w:bottom w:val="single" w:color="auto" w:sz="4" w:space="0"/>
              <w:right w:val="single" w:color="auto" w:sz="4" w:space="0"/>
            </w:tcBorders>
            <w:vAlign w:val="center"/>
          </w:tcPr>
          <w:p w14:paraId="74314D0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客户单位性质</w:t>
            </w:r>
          </w:p>
        </w:tc>
        <w:tc>
          <w:tcPr>
            <w:tcW w:w="3330" w:type="dxa"/>
            <w:tcBorders>
              <w:top w:val="single" w:color="auto" w:sz="4" w:space="0"/>
              <w:left w:val="single" w:color="auto" w:sz="4" w:space="0"/>
              <w:bottom w:val="single" w:color="auto" w:sz="4" w:space="0"/>
              <w:right w:val="single" w:color="auto" w:sz="4" w:space="0"/>
            </w:tcBorders>
            <w:vAlign w:val="center"/>
          </w:tcPr>
          <w:p w14:paraId="2264057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代理律所名称</w:t>
            </w:r>
          </w:p>
        </w:tc>
        <w:tc>
          <w:tcPr>
            <w:tcW w:w="2340" w:type="dxa"/>
            <w:tcBorders>
              <w:top w:val="single" w:color="auto" w:sz="4" w:space="0"/>
              <w:left w:val="single" w:color="auto" w:sz="4" w:space="0"/>
              <w:bottom w:val="single" w:color="auto" w:sz="4" w:space="0"/>
              <w:right w:val="single" w:color="auto" w:sz="4" w:space="0"/>
            </w:tcBorders>
            <w:vAlign w:val="center"/>
          </w:tcPr>
          <w:p w14:paraId="72337C6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主办律师</w:t>
            </w:r>
          </w:p>
        </w:tc>
        <w:tc>
          <w:tcPr>
            <w:tcW w:w="1683" w:type="dxa"/>
            <w:tcBorders>
              <w:top w:val="single" w:color="auto" w:sz="4" w:space="0"/>
              <w:left w:val="single" w:color="auto" w:sz="4" w:space="0"/>
              <w:bottom w:val="single" w:color="auto" w:sz="4" w:space="0"/>
              <w:right w:val="single" w:color="auto" w:sz="4" w:space="0"/>
            </w:tcBorders>
            <w:vAlign w:val="center"/>
          </w:tcPr>
          <w:p w14:paraId="3C3950A4">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委托合同或裁判文书名称</w:t>
            </w:r>
          </w:p>
        </w:tc>
        <w:tc>
          <w:tcPr>
            <w:tcW w:w="1076" w:type="dxa"/>
            <w:tcBorders>
              <w:top w:val="single" w:color="auto" w:sz="4" w:space="0"/>
              <w:left w:val="single" w:color="auto" w:sz="4" w:space="0"/>
              <w:bottom w:val="single" w:color="auto" w:sz="4" w:space="0"/>
              <w:right w:val="single" w:color="auto" w:sz="4" w:space="0"/>
            </w:tcBorders>
            <w:vAlign w:val="center"/>
          </w:tcPr>
          <w:p w14:paraId="7DD784C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文书</w:t>
            </w:r>
            <w:r>
              <w:rPr>
                <w:rFonts w:hint="eastAsia" w:ascii="仿宋" w:hAnsi="仿宋" w:eastAsia="仿宋" w:cs="Times New Roman"/>
                <w:color w:val="auto"/>
                <w:sz w:val="21"/>
                <w:szCs w:val="21"/>
                <w:highlight w:val="none"/>
              </w:rPr>
              <w:t>签订/</w:t>
            </w:r>
          </w:p>
          <w:p w14:paraId="500CF6D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出具时间</w:t>
            </w:r>
          </w:p>
        </w:tc>
      </w:tr>
      <w:tr w14:paraId="7C425F52">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vAlign w:val="bottom"/>
          </w:tcPr>
          <w:p w14:paraId="4BC5FA90">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auto" w:sz="4" w:space="0"/>
              <w:left w:val="single" w:color="000000" w:sz="4" w:space="0"/>
              <w:bottom w:val="single" w:color="000000" w:sz="4" w:space="0"/>
              <w:right w:val="single" w:color="000000" w:sz="4" w:space="0"/>
            </w:tcBorders>
            <w:vAlign w:val="bottom"/>
          </w:tcPr>
          <w:p w14:paraId="052A3238">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auto" w:sz="4" w:space="0"/>
              <w:left w:val="single" w:color="000000" w:sz="4" w:space="0"/>
              <w:bottom w:val="single" w:color="000000" w:sz="4" w:space="0"/>
              <w:right w:val="single" w:color="000000" w:sz="4" w:space="0"/>
            </w:tcBorders>
            <w:vAlign w:val="bottom"/>
          </w:tcPr>
          <w:p w14:paraId="3ED541E5">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auto" w:sz="4" w:space="0"/>
              <w:left w:val="single" w:color="000000" w:sz="4" w:space="0"/>
              <w:bottom w:val="single" w:color="000000" w:sz="4" w:space="0"/>
              <w:right w:val="single" w:color="000000" w:sz="4" w:space="0"/>
            </w:tcBorders>
            <w:vAlign w:val="bottom"/>
          </w:tcPr>
          <w:p w14:paraId="164DC6D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auto" w:sz="4" w:space="0"/>
              <w:left w:val="single" w:color="000000" w:sz="4" w:space="0"/>
              <w:bottom w:val="single" w:color="000000" w:sz="4" w:space="0"/>
              <w:right w:val="single" w:color="000000" w:sz="4" w:space="0"/>
            </w:tcBorders>
            <w:vAlign w:val="bottom"/>
          </w:tcPr>
          <w:p w14:paraId="40D1AEA6">
            <w:pPr>
              <w:spacing w:after="0"/>
              <w:ind w:left="3"/>
              <w:jc w:val="center"/>
              <w:rPr>
                <w:rFonts w:ascii="仿宋" w:hAnsi="仿宋" w:eastAsia="仿宋" w:cs="Times New Roman"/>
                <w:color w:val="auto"/>
                <w:sz w:val="21"/>
                <w:highlight w:val="none"/>
              </w:rPr>
            </w:pPr>
          </w:p>
        </w:tc>
        <w:tc>
          <w:tcPr>
            <w:tcW w:w="1683" w:type="dxa"/>
            <w:tcBorders>
              <w:top w:val="single" w:color="auto" w:sz="4" w:space="0"/>
              <w:left w:val="single" w:color="000000" w:sz="4" w:space="0"/>
              <w:bottom w:val="single" w:color="000000" w:sz="4" w:space="0"/>
              <w:right w:val="single" w:color="000000" w:sz="4" w:space="0"/>
            </w:tcBorders>
            <w:vAlign w:val="bottom"/>
          </w:tcPr>
          <w:p w14:paraId="4725E4E8">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auto" w:sz="4" w:space="0"/>
              <w:left w:val="single" w:color="000000" w:sz="4" w:space="0"/>
              <w:bottom w:val="single" w:color="000000" w:sz="4" w:space="0"/>
              <w:right w:val="single" w:color="000000" w:sz="4" w:space="0"/>
            </w:tcBorders>
            <w:vAlign w:val="bottom"/>
          </w:tcPr>
          <w:p w14:paraId="13CB6084">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1F07C218">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194FD5E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6CE0E8F">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4A113F4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12B5F4B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978F8F9">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0F45E05">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19C7BF6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6ACDE52">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07ADD21D">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3262494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7FA1D8BE">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F04FAD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7D16FF43">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64B975C">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CFAA58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6D14C94">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70D9C50E">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D699F0C">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08077E0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227AB753">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8D7AA64">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64B0A3DB">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678AE71E">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354C26E">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673AC13">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E9D145F">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B232E3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4FB0EC8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16F4DF0">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360DC7EE">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9BBC3D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C023C8D">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25B3E010">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0A78116">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50FD01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AAF6E9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77330AA2">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7C2BD4AC">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388AB303">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0D84C2E">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CD9CB7C">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A601ADC">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23F30FF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3EB91AE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E48E588">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2D9A6A4C">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17ECC1E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8EA7383">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34EF6B8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FFE278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343FA3C3">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087A4663">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55EAEF92">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30F5A94E">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5B6CD313">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70B2F3E">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vAlign w:val="bottom"/>
          </w:tcPr>
          <w:p w14:paraId="555E733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3769372">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13" w:type="dxa"/>
            <w:tcBorders>
              <w:top w:val="single" w:color="000000" w:sz="4" w:space="0"/>
              <w:left w:val="single" w:color="000000" w:sz="4" w:space="0"/>
              <w:bottom w:val="single" w:color="000000" w:sz="4" w:space="0"/>
              <w:right w:val="single" w:color="000000" w:sz="4" w:space="0"/>
            </w:tcBorders>
            <w:vAlign w:val="bottom"/>
          </w:tcPr>
          <w:p w14:paraId="1703321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3330" w:type="dxa"/>
            <w:tcBorders>
              <w:top w:val="single" w:color="000000" w:sz="4" w:space="0"/>
              <w:left w:val="single" w:color="000000" w:sz="4" w:space="0"/>
              <w:bottom w:val="single" w:color="000000" w:sz="4" w:space="0"/>
              <w:right w:val="single" w:color="000000" w:sz="4" w:space="0"/>
            </w:tcBorders>
            <w:vAlign w:val="bottom"/>
          </w:tcPr>
          <w:p w14:paraId="70A46BB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40" w:type="dxa"/>
            <w:tcBorders>
              <w:top w:val="single" w:color="000000" w:sz="4" w:space="0"/>
              <w:left w:val="single" w:color="000000" w:sz="4" w:space="0"/>
              <w:bottom w:val="single" w:color="000000" w:sz="4" w:space="0"/>
              <w:right w:val="single" w:color="000000" w:sz="4" w:space="0"/>
            </w:tcBorders>
            <w:vAlign w:val="bottom"/>
          </w:tcPr>
          <w:p w14:paraId="6EC679B7">
            <w:pPr>
              <w:spacing w:after="0"/>
              <w:ind w:left="3"/>
              <w:jc w:val="center"/>
              <w:rPr>
                <w:rFonts w:ascii="仿宋" w:hAnsi="仿宋" w:eastAsia="仿宋" w:cs="Times New Roman"/>
                <w:color w:val="auto"/>
                <w:sz w:val="21"/>
                <w:highlight w:val="none"/>
              </w:rPr>
            </w:pPr>
          </w:p>
        </w:tc>
        <w:tc>
          <w:tcPr>
            <w:tcW w:w="1683" w:type="dxa"/>
            <w:tcBorders>
              <w:top w:val="single" w:color="000000" w:sz="4" w:space="0"/>
              <w:left w:val="single" w:color="000000" w:sz="4" w:space="0"/>
              <w:bottom w:val="single" w:color="000000" w:sz="4" w:space="0"/>
              <w:right w:val="single" w:color="000000" w:sz="4" w:space="0"/>
            </w:tcBorders>
            <w:vAlign w:val="bottom"/>
          </w:tcPr>
          <w:p w14:paraId="4F3860EF">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076" w:type="dxa"/>
            <w:tcBorders>
              <w:top w:val="single" w:color="000000" w:sz="4" w:space="0"/>
              <w:left w:val="single" w:color="000000" w:sz="4" w:space="0"/>
              <w:bottom w:val="single" w:color="000000" w:sz="4" w:space="0"/>
              <w:right w:val="single" w:color="000000" w:sz="4" w:space="0"/>
            </w:tcBorders>
            <w:vAlign w:val="bottom"/>
          </w:tcPr>
          <w:p w14:paraId="40EB899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732023E1">
      <w:pPr>
        <w:spacing w:after="0" w:line="240" w:lineRule="auto"/>
        <w:jc w:val="center"/>
        <w:rPr>
          <w:rFonts w:ascii="仿宋" w:hAnsi="仿宋" w:eastAsia="仿宋" w:cs="Times New Roman"/>
          <w:color w:val="auto"/>
          <w:sz w:val="21"/>
          <w:highlight w:val="none"/>
        </w:rPr>
      </w:pPr>
    </w:p>
    <w:p w14:paraId="2A32F591">
      <w:pPr>
        <w:spacing w:after="0" w:line="240" w:lineRule="auto"/>
        <w:jc w:val="both"/>
        <w:rPr>
          <w:rFonts w:ascii="仿宋" w:hAnsi="仿宋" w:eastAsia="仿宋" w:cs="Times New Roman"/>
          <w:color w:val="auto"/>
          <w:sz w:val="21"/>
          <w:highlight w:val="none"/>
        </w:rPr>
        <w:sectPr>
          <w:pgSz w:w="15840" w:h="12240" w:orient="landscape"/>
          <w:pgMar w:top="1440" w:right="1440" w:bottom="1440" w:left="1440" w:header="720" w:footer="720" w:gutter="0"/>
          <w:cols w:space="0" w:num="1"/>
        </w:sectPr>
      </w:pPr>
      <w:r>
        <w:rPr>
          <w:rFonts w:ascii="仿宋" w:hAnsi="仿宋" w:eastAsia="仿宋" w:cs="Times New Roman"/>
          <w:color w:val="auto"/>
          <w:sz w:val="21"/>
          <w:highlight w:val="none"/>
        </w:rPr>
        <w:t>注：参选人在本表后附相关业绩（如有）</w:t>
      </w:r>
    </w:p>
    <w:p w14:paraId="22DF2253">
      <w:pPr>
        <w:pStyle w:val="14"/>
        <w:rPr>
          <w:rFonts w:ascii="仿宋" w:hAnsi="仿宋" w:eastAsia="仿宋" w:cs="Times New Roman"/>
          <w:highlight w:val="none"/>
        </w:rPr>
      </w:pPr>
    </w:p>
    <w:p w14:paraId="653483B2">
      <w:pPr>
        <w:pStyle w:val="7"/>
        <w:spacing w:after="0"/>
        <w:ind w:left="132" w:right="0"/>
        <w:jc w:val="center"/>
        <w:rPr>
          <w:rFonts w:ascii="仿宋" w:hAnsi="仿宋" w:eastAsia="仿宋" w:cs="仿宋_GB2312"/>
          <w:b/>
          <w:bCs/>
          <w:color w:val="auto"/>
          <w:highlight w:val="none"/>
        </w:rPr>
      </w:pPr>
      <w:r>
        <w:rPr>
          <w:rFonts w:ascii="仿宋" w:hAnsi="仿宋" w:eastAsia="仿宋" w:cs="仿宋_GB2312"/>
          <w:b/>
          <w:bCs/>
          <w:color w:val="auto"/>
          <w:highlight w:val="none"/>
        </w:rPr>
        <w:t>（三）信用查询证明</w:t>
      </w:r>
    </w:p>
    <w:p w14:paraId="2AAD30B0">
      <w:pPr>
        <w:pStyle w:val="8"/>
        <w:spacing w:after="0" w:line="360" w:lineRule="auto"/>
        <w:ind w:left="132" w:right="0"/>
        <w:rPr>
          <w:rFonts w:ascii="仿宋" w:hAnsi="仿宋" w:eastAsia="仿宋" w:cs="Times New Roman"/>
          <w:bCs/>
          <w:color w:val="auto"/>
          <w:sz w:val="24"/>
          <w:szCs w:val="21"/>
          <w:highlight w:val="none"/>
        </w:rPr>
      </w:pPr>
    </w:p>
    <w:p w14:paraId="51318E6D">
      <w:pPr>
        <w:pStyle w:val="8"/>
        <w:spacing w:after="0" w:line="360" w:lineRule="auto"/>
        <w:ind w:left="132" w:right="0"/>
        <w:rPr>
          <w:rFonts w:ascii="仿宋" w:hAnsi="仿宋" w:eastAsia="仿宋" w:cs="Times New Roman"/>
          <w:bCs/>
          <w:color w:val="auto"/>
          <w:sz w:val="24"/>
          <w:szCs w:val="21"/>
          <w:highlight w:val="none"/>
        </w:rPr>
      </w:pPr>
      <w:r>
        <w:rPr>
          <w:rFonts w:ascii="仿宋" w:hAnsi="仿宋" w:eastAsia="仿宋" w:cs="Times New Roman"/>
          <w:bCs/>
          <w:color w:val="auto"/>
          <w:sz w:val="24"/>
          <w:szCs w:val="21"/>
          <w:highlight w:val="none"/>
        </w:rPr>
        <w:t>参选人提供通过信用中国网站（www.creditchina.gov.cn）-信用服务-严重失信主体名单、经营异常名录查询、失信被执行人查询、重大税收违法失信主体查询的截图。</w:t>
      </w:r>
    </w:p>
    <w:p w14:paraId="7531D82A">
      <w:pPr>
        <w:pStyle w:val="8"/>
        <w:spacing w:after="0" w:line="360" w:lineRule="auto"/>
        <w:ind w:left="132" w:right="0"/>
        <w:rPr>
          <w:rFonts w:ascii="仿宋" w:hAnsi="仿宋" w:eastAsia="仿宋" w:cs="Times New Roman"/>
          <w:b/>
          <w:color w:val="auto"/>
          <w:highlight w:val="none"/>
        </w:rPr>
      </w:pPr>
    </w:p>
    <w:p w14:paraId="143ECB08">
      <w:pPr>
        <w:rPr>
          <w:rFonts w:ascii="仿宋" w:hAnsi="仿宋" w:eastAsia="仿宋" w:cs="Times New Roman"/>
          <w:b/>
          <w:color w:val="auto"/>
          <w:highlight w:val="none"/>
        </w:rPr>
      </w:pPr>
      <w:r>
        <w:rPr>
          <w:rFonts w:ascii="仿宋" w:hAnsi="仿宋" w:eastAsia="仿宋" w:cs="Times New Roman"/>
          <w:b/>
          <w:color w:val="auto"/>
          <w:highlight w:val="none"/>
        </w:rPr>
        <w:br w:type="page"/>
      </w:r>
    </w:p>
    <w:p w14:paraId="1010FF68">
      <w:pPr>
        <w:pStyle w:val="8"/>
        <w:spacing w:after="0" w:line="360" w:lineRule="auto"/>
        <w:ind w:left="0" w:right="0"/>
        <w:jc w:val="center"/>
        <w:rPr>
          <w:rFonts w:ascii="仿宋" w:hAnsi="仿宋" w:eastAsia="仿宋" w:cs="Times New Roman"/>
          <w:b/>
          <w:color w:val="auto"/>
          <w:highlight w:val="none"/>
        </w:rPr>
        <w:sectPr>
          <w:pgSz w:w="12240" w:h="15840"/>
          <w:pgMar w:top="1440" w:right="1440" w:bottom="1440" w:left="1440" w:header="720" w:footer="720" w:gutter="0"/>
          <w:cols w:space="720" w:num="1"/>
        </w:sectPr>
      </w:pPr>
      <w:bookmarkStart w:id="61" w:name="_Toc123681"/>
    </w:p>
    <w:p w14:paraId="363BE97B">
      <w:pPr>
        <w:pStyle w:val="7"/>
        <w:spacing w:after="0"/>
        <w:ind w:left="122"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（四）</w:t>
      </w:r>
      <w:r>
        <w:rPr>
          <w:rFonts w:ascii="仿宋" w:hAnsi="仿宋" w:eastAsia="仿宋" w:cs="仿宋_GB2312"/>
          <w:b/>
          <w:bCs/>
          <w:color w:val="auto"/>
          <w:highlight w:val="none"/>
        </w:rPr>
        <w:t xml:space="preserve">拟委任的主要人员汇总表 </w:t>
      </w:r>
      <w:bookmarkEnd w:id="61"/>
    </w:p>
    <w:p w14:paraId="3378E163">
      <w:pPr>
        <w:spacing w:line="240" w:lineRule="exact"/>
        <w:jc w:val="distribute"/>
        <w:rPr>
          <w:rFonts w:ascii="仿宋" w:hAnsi="仿宋" w:eastAsia="仿宋"/>
          <w:highlight w:val="none"/>
        </w:rPr>
      </w:pPr>
    </w:p>
    <w:tbl>
      <w:tblPr>
        <w:tblStyle w:val="30"/>
        <w:tblW w:w="13218" w:type="dxa"/>
        <w:jc w:val="center"/>
        <w:tblLayout w:type="fixed"/>
        <w:tblCellMar>
          <w:top w:w="0" w:type="dxa"/>
          <w:left w:w="110" w:type="dxa"/>
          <w:bottom w:w="46" w:type="dxa"/>
          <w:right w:w="60" w:type="dxa"/>
        </w:tblCellMar>
      </w:tblPr>
      <w:tblGrid>
        <w:gridCol w:w="1061"/>
        <w:gridCol w:w="1683"/>
        <w:gridCol w:w="1353"/>
        <w:gridCol w:w="2322"/>
        <w:gridCol w:w="916"/>
        <w:gridCol w:w="1304"/>
        <w:gridCol w:w="1165"/>
        <w:gridCol w:w="1217"/>
        <w:gridCol w:w="2197"/>
      </w:tblGrid>
      <w:tr w14:paraId="3850AA52">
        <w:tblPrEx>
          <w:tblCellMar>
            <w:top w:w="0" w:type="dxa"/>
            <w:left w:w="110" w:type="dxa"/>
            <w:bottom w:w="46" w:type="dxa"/>
            <w:right w:w="60" w:type="dxa"/>
          </w:tblCellMar>
        </w:tblPrEx>
        <w:trPr>
          <w:trHeight w:val="529"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vAlign w:val="center"/>
          </w:tcPr>
          <w:p w14:paraId="3F6B544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序号</w:t>
            </w:r>
          </w:p>
        </w:tc>
        <w:tc>
          <w:tcPr>
            <w:tcW w:w="1683" w:type="dxa"/>
            <w:vMerge w:val="restart"/>
            <w:tcBorders>
              <w:top w:val="single" w:color="000000" w:sz="4" w:space="0"/>
              <w:left w:val="single" w:color="000000" w:sz="4" w:space="0"/>
              <w:bottom w:val="single" w:color="000000" w:sz="4" w:space="0"/>
              <w:right w:val="single" w:color="000000" w:sz="4" w:space="0"/>
            </w:tcBorders>
            <w:vAlign w:val="center"/>
          </w:tcPr>
          <w:p w14:paraId="138DF6C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本项目任职</w:t>
            </w:r>
          </w:p>
          <w:p w14:paraId="4841CE5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（团队负责人/主办律师/协办律师）</w:t>
            </w:r>
          </w:p>
        </w:tc>
        <w:tc>
          <w:tcPr>
            <w:tcW w:w="1353" w:type="dxa"/>
            <w:vMerge w:val="restart"/>
            <w:tcBorders>
              <w:top w:val="single" w:color="000000" w:sz="4" w:space="0"/>
              <w:left w:val="single" w:color="000000" w:sz="4" w:space="0"/>
              <w:bottom w:val="single" w:color="000000" w:sz="4" w:space="0"/>
              <w:right w:val="single" w:color="000000" w:sz="4" w:space="0"/>
            </w:tcBorders>
            <w:vAlign w:val="center"/>
          </w:tcPr>
          <w:p w14:paraId="1F96D95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姓名</w:t>
            </w:r>
          </w:p>
        </w:tc>
        <w:tc>
          <w:tcPr>
            <w:tcW w:w="2322" w:type="dxa"/>
            <w:vMerge w:val="restart"/>
            <w:tcBorders>
              <w:top w:val="single" w:color="000000" w:sz="4" w:space="0"/>
              <w:left w:val="single" w:color="000000" w:sz="4" w:space="0"/>
              <w:bottom w:val="single" w:color="000000" w:sz="4" w:space="0"/>
              <w:right w:val="single" w:color="000000" w:sz="4" w:space="0"/>
            </w:tcBorders>
            <w:vAlign w:val="center"/>
          </w:tcPr>
          <w:p w14:paraId="791BEB3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学历（最高学历为准）</w:t>
            </w:r>
          </w:p>
        </w:tc>
        <w:tc>
          <w:tcPr>
            <w:tcW w:w="916" w:type="dxa"/>
            <w:vMerge w:val="restart"/>
            <w:tcBorders>
              <w:top w:val="single" w:color="000000" w:sz="4" w:space="0"/>
              <w:left w:val="single" w:color="000000" w:sz="4" w:space="0"/>
              <w:bottom w:val="single" w:color="000000" w:sz="4" w:space="0"/>
              <w:right w:val="single" w:color="000000" w:sz="4" w:space="0"/>
            </w:tcBorders>
            <w:vAlign w:val="center"/>
          </w:tcPr>
          <w:p w14:paraId="3F1B814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w:t>
            </w:r>
          </w:p>
        </w:tc>
        <w:tc>
          <w:tcPr>
            <w:tcW w:w="5883" w:type="dxa"/>
            <w:gridSpan w:val="4"/>
            <w:tcBorders>
              <w:top w:val="single" w:color="000000" w:sz="4" w:space="0"/>
              <w:left w:val="single" w:color="000000" w:sz="4" w:space="0"/>
              <w:bottom w:val="single" w:color="000000" w:sz="4" w:space="0"/>
              <w:right w:val="single" w:color="000000" w:sz="4" w:space="0"/>
            </w:tcBorders>
            <w:vAlign w:val="center"/>
          </w:tcPr>
          <w:p w14:paraId="1D3C95E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执业资格及荣誉证书</w:t>
            </w:r>
          </w:p>
        </w:tc>
      </w:tr>
      <w:tr w14:paraId="75C779D4">
        <w:tblPrEx>
          <w:tblCellMar>
            <w:top w:w="0" w:type="dxa"/>
            <w:left w:w="110" w:type="dxa"/>
            <w:bottom w:w="46" w:type="dxa"/>
            <w:right w:w="60" w:type="dxa"/>
          </w:tblCellMar>
        </w:tblPrEx>
        <w:trPr>
          <w:trHeight w:val="756" w:hRule="atLeast"/>
          <w:jc w:val="center"/>
        </w:trPr>
        <w:tc>
          <w:tcPr>
            <w:tcW w:w="1061" w:type="dxa"/>
            <w:vMerge w:val="continue"/>
            <w:tcBorders>
              <w:top w:val="nil"/>
              <w:left w:val="single" w:color="000000" w:sz="4" w:space="0"/>
              <w:bottom w:val="single" w:color="000000" w:sz="4" w:space="0"/>
              <w:right w:val="single" w:color="000000" w:sz="4" w:space="0"/>
            </w:tcBorders>
            <w:vAlign w:val="center"/>
          </w:tcPr>
          <w:p w14:paraId="09A2E3FC">
            <w:pPr>
              <w:spacing w:after="0" w:line="320" w:lineRule="exact"/>
              <w:jc w:val="center"/>
              <w:rPr>
                <w:rFonts w:ascii="仿宋" w:hAnsi="仿宋" w:eastAsia="仿宋" w:cs="Times New Roman"/>
                <w:color w:val="auto"/>
                <w:sz w:val="21"/>
                <w:szCs w:val="21"/>
                <w:highlight w:val="none"/>
              </w:rPr>
            </w:pPr>
          </w:p>
        </w:tc>
        <w:tc>
          <w:tcPr>
            <w:tcW w:w="1683" w:type="dxa"/>
            <w:vMerge w:val="continue"/>
            <w:tcBorders>
              <w:top w:val="nil"/>
              <w:left w:val="single" w:color="000000" w:sz="4" w:space="0"/>
              <w:bottom w:val="single" w:color="000000" w:sz="4" w:space="0"/>
              <w:right w:val="single" w:color="000000" w:sz="4" w:space="0"/>
            </w:tcBorders>
            <w:vAlign w:val="center"/>
          </w:tcPr>
          <w:p w14:paraId="4910E601">
            <w:pPr>
              <w:spacing w:after="0" w:line="320" w:lineRule="exact"/>
              <w:jc w:val="center"/>
              <w:rPr>
                <w:rFonts w:ascii="仿宋" w:hAnsi="仿宋" w:eastAsia="仿宋" w:cs="Times New Roman"/>
                <w:color w:val="auto"/>
                <w:sz w:val="21"/>
                <w:szCs w:val="21"/>
                <w:highlight w:val="none"/>
              </w:rPr>
            </w:pPr>
          </w:p>
        </w:tc>
        <w:tc>
          <w:tcPr>
            <w:tcW w:w="1353" w:type="dxa"/>
            <w:vMerge w:val="continue"/>
            <w:tcBorders>
              <w:top w:val="nil"/>
              <w:left w:val="single" w:color="000000" w:sz="4" w:space="0"/>
              <w:bottom w:val="single" w:color="000000" w:sz="4" w:space="0"/>
              <w:right w:val="single" w:color="000000" w:sz="4" w:space="0"/>
            </w:tcBorders>
            <w:vAlign w:val="center"/>
          </w:tcPr>
          <w:p w14:paraId="28549BB1">
            <w:pPr>
              <w:spacing w:after="0" w:line="320" w:lineRule="exact"/>
              <w:jc w:val="center"/>
              <w:rPr>
                <w:rFonts w:ascii="仿宋" w:hAnsi="仿宋" w:eastAsia="仿宋" w:cs="Times New Roman"/>
                <w:color w:val="auto"/>
                <w:sz w:val="21"/>
                <w:szCs w:val="21"/>
                <w:highlight w:val="none"/>
              </w:rPr>
            </w:pPr>
          </w:p>
        </w:tc>
        <w:tc>
          <w:tcPr>
            <w:tcW w:w="2322" w:type="dxa"/>
            <w:vMerge w:val="continue"/>
            <w:tcBorders>
              <w:top w:val="nil"/>
              <w:left w:val="single" w:color="000000" w:sz="4" w:space="0"/>
              <w:bottom w:val="single" w:color="000000" w:sz="4" w:space="0"/>
              <w:right w:val="single" w:color="000000" w:sz="4" w:space="0"/>
            </w:tcBorders>
            <w:vAlign w:val="center"/>
          </w:tcPr>
          <w:p w14:paraId="50E59B48">
            <w:pPr>
              <w:spacing w:after="0" w:line="320" w:lineRule="exact"/>
              <w:jc w:val="center"/>
              <w:rPr>
                <w:rFonts w:ascii="仿宋" w:hAnsi="仿宋" w:eastAsia="仿宋" w:cs="Times New Roman"/>
                <w:color w:val="auto"/>
                <w:sz w:val="21"/>
                <w:szCs w:val="21"/>
                <w:highlight w:val="none"/>
              </w:rPr>
            </w:pPr>
          </w:p>
        </w:tc>
        <w:tc>
          <w:tcPr>
            <w:tcW w:w="916" w:type="dxa"/>
            <w:vMerge w:val="continue"/>
            <w:tcBorders>
              <w:top w:val="nil"/>
              <w:left w:val="single" w:color="000000" w:sz="4" w:space="0"/>
              <w:bottom w:val="single" w:color="000000" w:sz="4" w:space="0"/>
              <w:right w:val="single" w:color="000000" w:sz="4" w:space="0"/>
            </w:tcBorders>
            <w:vAlign w:val="center"/>
          </w:tcPr>
          <w:p w14:paraId="13830C06">
            <w:pPr>
              <w:spacing w:after="0" w:line="320" w:lineRule="exact"/>
              <w:jc w:val="center"/>
              <w:rPr>
                <w:rFonts w:ascii="仿宋" w:hAnsi="仿宋" w:eastAsia="仿宋" w:cs="Times New Roman"/>
                <w:color w:val="auto"/>
                <w:sz w:val="21"/>
                <w:szCs w:val="21"/>
                <w:highlight w:val="none"/>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2571071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证书名称</w:t>
            </w:r>
          </w:p>
        </w:tc>
        <w:tc>
          <w:tcPr>
            <w:tcW w:w="1165" w:type="dxa"/>
            <w:tcBorders>
              <w:top w:val="single" w:color="000000" w:sz="4" w:space="0"/>
              <w:left w:val="single" w:color="000000" w:sz="4" w:space="0"/>
              <w:bottom w:val="single" w:color="000000" w:sz="4" w:space="0"/>
              <w:right w:val="single" w:color="000000" w:sz="4" w:space="0"/>
            </w:tcBorders>
            <w:vAlign w:val="center"/>
          </w:tcPr>
          <w:p w14:paraId="7C2AC19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执业年限</w:t>
            </w:r>
          </w:p>
        </w:tc>
        <w:tc>
          <w:tcPr>
            <w:tcW w:w="1217" w:type="dxa"/>
            <w:tcBorders>
              <w:top w:val="single" w:color="000000" w:sz="4" w:space="0"/>
              <w:left w:val="single" w:color="000000" w:sz="4" w:space="0"/>
              <w:bottom w:val="single" w:color="000000" w:sz="4" w:space="0"/>
              <w:right w:val="single" w:color="000000" w:sz="4" w:space="0"/>
            </w:tcBorders>
            <w:vAlign w:val="center"/>
          </w:tcPr>
          <w:p w14:paraId="0F50D64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荣誉名称</w:t>
            </w:r>
          </w:p>
        </w:tc>
        <w:tc>
          <w:tcPr>
            <w:tcW w:w="2197" w:type="dxa"/>
            <w:tcBorders>
              <w:top w:val="single" w:color="000000" w:sz="4" w:space="0"/>
              <w:left w:val="single" w:color="000000" w:sz="4" w:space="0"/>
              <w:bottom w:val="single" w:color="000000" w:sz="4" w:space="0"/>
              <w:right w:val="single" w:color="000000" w:sz="4" w:space="0"/>
            </w:tcBorders>
            <w:vAlign w:val="center"/>
          </w:tcPr>
          <w:p w14:paraId="2B3A472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荣誉证书发证单位</w:t>
            </w:r>
          </w:p>
        </w:tc>
      </w:tr>
      <w:tr w14:paraId="006D1561">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0099A6BE">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219E69B8">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54A6F24">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23969F5E">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46CAED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387D4CB2">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9F41E88">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65442763">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2A7F4F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2F9C7D8">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73D9CA75">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0538DF64">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1DEAD6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06AF63D3">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11953E7E">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258B1B07">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498984F">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D17F474">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B09D33E">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68EBA3B1">
        <w:tblPrEx>
          <w:tblCellMar>
            <w:top w:w="0" w:type="dxa"/>
            <w:left w:w="110" w:type="dxa"/>
            <w:bottom w:w="46" w:type="dxa"/>
            <w:right w:w="60" w:type="dxa"/>
          </w:tblCellMar>
        </w:tblPrEx>
        <w:trPr>
          <w:trHeight w:val="530"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3746689">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138E7109">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A9322E3">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59AE3648">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0B653D81">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45F52D11">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69CECFA6">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E00F16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53A4EBE">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3F6570F">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2F3A0E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476FC0F0">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254991E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127009AA">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F2F8D0E">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0E434B2C">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46A79ED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7857F5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4773E3C8">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2820EB0A">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5C76A766">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4F00E2CC">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00997C7">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3B10AE2C">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09F691A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33E419B">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667A8E9">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21C79EB4">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022031BE">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6CAF9A15">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11E5AE23">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356347B">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0D281C44">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56D11E6A">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2F88ADD0">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2980CE38">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4D740306">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76A4DE5C">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2DF35FD1">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4689E643">
        <w:tblPrEx>
          <w:tblCellMar>
            <w:top w:w="0" w:type="dxa"/>
            <w:left w:w="110" w:type="dxa"/>
            <w:bottom w:w="46" w:type="dxa"/>
            <w:right w:w="60"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27B70A92">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41D4EF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636A4D77">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002AA6E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7F508E47">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06F2EC2">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54619F05">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401E54CA">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A79848">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782A9F28">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33536598">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216D361D">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75C1AB5B">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21D7C470">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6D97B242">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6F9E894E">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300674CA">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2BB422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4E67530">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3577AC59">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1628C7E1">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3588D07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5CB14063">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16FFFECB">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75DE69A4">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7087A5BF">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1EEE8341">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3F2E199F">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6699CDC3">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r w14:paraId="590555E1">
        <w:tblPrEx>
          <w:tblCellMar>
            <w:top w:w="0" w:type="dxa"/>
            <w:left w:w="110" w:type="dxa"/>
            <w:bottom w:w="46" w:type="dxa"/>
            <w:right w:w="60"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cBorders>
            <w:vAlign w:val="bottom"/>
          </w:tcPr>
          <w:p w14:paraId="4B1BAB7F">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vAlign w:val="bottom"/>
          </w:tcPr>
          <w:p w14:paraId="7F8F06D1">
            <w:pPr>
              <w:spacing w:after="0"/>
              <w:ind w:right="1"/>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53" w:type="dxa"/>
            <w:tcBorders>
              <w:top w:val="single" w:color="000000" w:sz="4" w:space="0"/>
              <w:left w:val="single" w:color="000000" w:sz="4" w:space="0"/>
              <w:bottom w:val="single" w:color="000000" w:sz="4" w:space="0"/>
              <w:right w:val="single" w:color="000000" w:sz="4" w:space="0"/>
            </w:tcBorders>
            <w:vAlign w:val="bottom"/>
          </w:tcPr>
          <w:p w14:paraId="2D057E68">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322" w:type="dxa"/>
            <w:tcBorders>
              <w:top w:val="single" w:color="000000" w:sz="4" w:space="0"/>
              <w:left w:val="single" w:color="000000" w:sz="4" w:space="0"/>
              <w:bottom w:val="single" w:color="000000" w:sz="4" w:space="0"/>
              <w:right w:val="single" w:color="000000" w:sz="4" w:space="0"/>
            </w:tcBorders>
            <w:vAlign w:val="bottom"/>
          </w:tcPr>
          <w:p w14:paraId="46CF26A2">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916" w:type="dxa"/>
            <w:tcBorders>
              <w:top w:val="single" w:color="000000" w:sz="4" w:space="0"/>
              <w:left w:val="single" w:color="000000" w:sz="4" w:space="0"/>
              <w:bottom w:val="single" w:color="000000" w:sz="4" w:space="0"/>
              <w:right w:val="single" w:color="000000" w:sz="4" w:space="0"/>
            </w:tcBorders>
            <w:vAlign w:val="bottom"/>
          </w:tcPr>
          <w:p w14:paraId="140A004D">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304" w:type="dxa"/>
            <w:tcBorders>
              <w:top w:val="single" w:color="000000" w:sz="4" w:space="0"/>
              <w:left w:val="single" w:color="000000" w:sz="4" w:space="0"/>
              <w:bottom w:val="single" w:color="000000" w:sz="4" w:space="0"/>
              <w:right w:val="single" w:color="000000" w:sz="4" w:space="0"/>
            </w:tcBorders>
            <w:vAlign w:val="bottom"/>
          </w:tcPr>
          <w:p w14:paraId="5EBA4F94">
            <w:pPr>
              <w:spacing w:after="0"/>
              <w:ind w:left="3"/>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165" w:type="dxa"/>
            <w:tcBorders>
              <w:top w:val="single" w:color="000000" w:sz="4" w:space="0"/>
              <w:left w:val="single" w:color="000000" w:sz="4" w:space="0"/>
              <w:bottom w:val="single" w:color="000000" w:sz="4" w:space="0"/>
              <w:right w:val="single" w:color="000000" w:sz="4" w:space="0"/>
            </w:tcBorders>
            <w:vAlign w:val="bottom"/>
          </w:tcPr>
          <w:p w14:paraId="2C8BD727">
            <w:pPr>
              <w:spacing w:after="0"/>
              <w:ind w:righ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1217" w:type="dxa"/>
            <w:tcBorders>
              <w:top w:val="single" w:color="000000" w:sz="4" w:space="0"/>
              <w:left w:val="single" w:color="000000" w:sz="4" w:space="0"/>
              <w:bottom w:val="single" w:color="000000" w:sz="4" w:space="0"/>
              <w:right w:val="single" w:color="000000" w:sz="4" w:space="0"/>
            </w:tcBorders>
            <w:vAlign w:val="bottom"/>
          </w:tcPr>
          <w:p w14:paraId="0BC9CCB6">
            <w:pPr>
              <w:spacing w:after="0"/>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c>
          <w:tcPr>
            <w:tcW w:w="2197" w:type="dxa"/>
            <w:tcBorders>
              <w:top w:val="single" w:color="000000" w:sz="4" w:space="0"/>
              <w:left w:val="single" w:color="000000" w:sz="4" w:space="0"/>
              <w:bottom w:val="single" w:color="000000" w:sz="4" w:space="0"/>
              <w:right w:val="single" w:color="000000" w:sz="4" w:space="0"/>
            </w:tcBorders>
            <w:vAlign w:val="bottom"/>
          </w:tcPr>
          <w:p w14:paraId="57BF17EA">
            <w:pPr>
              <w:spacing w:after="0"/>
              <w:ind w:left="2"/>
              <w:jc w:val="center"/>
              <w:rPr>
                <w:rFonts w:ascii="仿宋" w:hAnsi="仿宋" w:eastAsia="仿宋" w:cs="Times New Roman"/>
                <w:color w:val="auto"/>
                <w:highlight w:val="none"/>
              </w:rPr>
            </w:pPr>
            <w:r>
              <w:rPr>
                <w:rFonts w:ascii="仿宋" w:hAnsi="仿宋" w:eastAsia="仿宋" w:cs="Times New Roman"/>
                <w:color w:val="auto"/>
                <w:sz w:val="21"/>
                <w:highlight w:val="none"/>
              </w:rPr>
              <w:t xml:space="preserve"> </w:t>
            </w:r>
          </w:p>
        </w:tc>
      </w:tr>
    </w:tbl>
    <w:p w14:paraId="51C08204">
      <w:pPr>
        <w:pStyle w:val="8"/>
        <w:spacing w:after="0" w:line="360" w:lineRule="auto"/>
        <w:ind w:left="132" w:right="0"/>
        <w:jc w:val="center"/>
        <w:rPr>
          <w:rFonts w:ascii="仿宋" w:hAnsi="仿宋" w:eastAsia="仿宋" w:cs="Times New Roman"/>
          <w:b/>
          <w:color w:val="auto"/>
          <w:highlight w:val="none"/>
        </w:rPr>
        <w:sectPr>
          <w:pgSz w:w="15840" w:h="12240" w:orient="landscape"/>
          <w:pgMar w:top="1440" w:right="1440" w:bottom="1440" w:left="1440" w:header="720" w:footer="720" w:gutter="0"/>
          <w:cols w:space="0" w:num="1"/>
        </w:sectPr>
      </w:pPr>
    </w:p>
    <w:bookmarkEnd w:id="60"/>
    <w:p w14:paraId="284D1DDB">
      <w:pPr>
        <w:pStyle w:val="7"/>
        <w:spacing w:after="0"/>
        <w:ind w:left="0" w:right="0" w:firstLine="0"/>
        <w:jc w:val="center"/>
        <w:rPr>
          <w:rFonts w:ascii="仿宋" w:hAnsi="仿宋" w:eastAsia="仿宋" w:cs="仿宋_GB2312"/>
          <w:b/>
          <w:bCs/>
          <w:color w:val="auto"/>
          <w:highlight w:val="none"/>
        </w:rPr>
      </w:pPr>
      <w:r>
        <w:rPr>
          <w:rFonts w:hint="eastAsia" w:ascii="仿宋" w:hAnsi="仿宋" w:eastAsia="仿宋" w:cs="仿宋_GB2312"/>
          <w:b/>
          <w:bCs/>
          <w:color w:val="auto"/>
          <w:highlight w:val="none"/>
        </w:rPr>
        <w:t>（五）</w:t>
      </w:r>
      <w:r>
        <w:rPr>
          <w:rFonts w:ascii="仿宋" w:hAnsi="仿宋" w:eastAsia="仿宋" w:cs="仿宋_GB2312"/>
          <w:b/>
          <w:bCs/>
          <w:color w:val="auto"/>
          <w:highlight w:val="none"/>
        </w:rPr>
        <w:t>拟派律师简历表</w:t>
      </w:r>
    </w:p>
    <w:p w14:paraId="317F2C3B">
      <w:pPr>
        <w:spacing w:line="240" w:lineRule="exact"/>
        <w:jc w:val="distribute"/>
        <w:rPr>
          <w:rFonts w:ascii="仿宋" w:hAnsi="仿宋" w:eastAsia="仿宋"/>
          <w:highlight w:val="none"/>
        </w:rPr>
      </w:pPr>
    </w:p>
    <w:tbl>
      <w:tblPr>
        <w:tblStyle w:val="30"/>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4A63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76D0ACD2">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姓    名</w:t>
            </w:r>
          </w:p>
        </w:tc>
        <w:tc>
          <w:tcPr>
            <w:tcW w:w="2660" w:type="dxa"/>
            <w:gridSpan w:val="2"/>
            <w:vAlign w:val="center"/>
          </w:tcPr>
          <w:p w14:paraId="3E82E8E1">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3F2CCB7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拟任职</w:t>
            </w:r>
          </w:p>
        </w:tc>
        <w:tc>
          <w:tcPr>
            <w:tcW w:w="2852" w:type="dxa"/>
            <w:gridSpan w:val="2"/>
            <w:vAlign w:val="center"/>
          </w:tcPr>
          <w:p w14:paraId="34876CC0">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项目负责人/团队律师</w:t>
            </w:r>
          </w:p>
        </w:tc>
      </w:tr>
      <w:tr w14:paraId="2C86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74FA355E">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身份证号</w:t>
            </w:r>
          </w:p>
        </w:tc>
        <w:tc>
          <w:tcPr>
            <w:tcW w:w="2660" w:type="dxa"/>
            <w:gridSpan w:val="2"/>
            <w:vAlign w:val="center"/>
          </w:tcPr>
          <w:p w14:paraId="3DDE5328">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1528F0B0">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从业年限</w:t>
            </w:r>
          </w:p>
        </w:tc>
        <w:tc>
          <w:tcPr>
            <w:tcW w:w="2852" w:type="dxa"/>
            <w:gridSpan w:val="2"/>
            <w:vAlign w:val="center"/>
          </w:tcPr>
          <w:p w14:paraId="5EA64A88">
            <w:pPr>
              <w:spacing w:after="0" w:line="320" w:lineRule="exact"/>
              <w:jc w:val="center"/>
              <w:rPr>
                <w:rFonts w:ascii="仿宋" w:hAnsi="仿宋" w:eastAsia="仿宋" w:cs="Times New Roman"/>
                <w:color w:val="auto"/>
                <w:sz w:val="21"/>
                <w:szCs w:val="21"/>
                <w:highlight w:val="none"/>
              </w:rPr>
            </w:pPr>
          </w:p>
        </w:tc>
      </w:tr>
      <w:tr w14:paraId="2B9B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305C08B7">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专业职称</w:t>
            </w:r>
          </w:p>
        </w:tc>
        <w:tc>
          <w:tcPr>
            <w:tcW w:w="2660" w:type="dxa"/>
            <w:gridSpan w:val="2"/>
            <w:vAlign w:val="center"/>
          </w:tcPr>
          <w:p w14:paraId="55C71FEF">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5320EA4A">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专业学历</w:t>
            </w:r>
          </w:p>
        </w:tc>
        <w:tc>
          <w:tcPr>
            <w:tcW w:w="2852" w:type="dxa"/>
            <w:gridSpan w:val="2"/>
            <w:vAlign w:val="center"/>
          </w:tcPr>
          <w:p w14:paraId="30C90A40">
            <w:pPr>
              <w:spacing w:after="0" w:line="320" w:lineRule="exact"/>
              <w:jc w:val="center"/>
              <w:rPr>
                <w:rFonts w:ascii="仿宋" w:hAnsi="仿宋" w:eastAsia="仿宋" w:cs="Times New Roman"/>
                <w:color w:val="auto"/>
                <w:sz w:val="21"/>
                <w:szCs w:val="21"/>
                <w:highlight w:val="none"/>
              </w:rPr>
            </w:pPr>
          </w:p>
        </w:tc>
      </w:tr>
      <w:tr w14:paraId="3239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763296CB">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执业资格</w:t>
            </w:r>
          </w:p>
        </w:tc>
        <w:tc>
          <w:tcPr>
            <w:tcW w:w="2660" w:type="dxa"/>
            <w:gridSpan w:val="2"/>
            <w:vAlign w:val="center"/>
          </w:tcPr>
          <w:p w14:paraId="0DCFE0E3">
            <w:pPr>
              <w:spacing w:after="0" w:line="320" w:lineRule="exact"/>
              <w:jc w:val="center"/>
              <w:rPr>
                <w:rFonts w:ascii="仿宋" w:hAnsi="仿宋" w:eastAsia="仿宋" w:cs="Times New Roman"/>
                <w:color w:val="auto"/>
                <w:sz w:val="21"/>
                <w:szCs w:val="21"/>
                <w:highlight w:val="none"/>
              </w:rPr>
            </w:pPr>
          </w:p>
        </w:tc>
        <w:tc>
          <w:tcPr>
            <w:tcW w:w="1647" w:type="dxa"/>
            <w:gridSpan w:val="2"/>
            <w:vAlign w:val="center"/>
          </w:tcPr>
          <w:p w14:paraId="7AF31098">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执业编号</w:t>
            </w:r>
          </w:p>
        </w:tc>
        <w:tc>
          <w:tcPr>
            <w:tcW w:w="2852" w:type="dxa"/>
            <w:gridSpan w:val="2"/>
            <w:vAlign w:val="center"/>
          </w:tcPr>
          <w:p w14:paraId="59D096E5">
            <w:pPr>
              <w:spacing w:after="0" w:line="320" w:lineRule="exact"/>
              <w:jc w:val="center"/>
              <w:rPr>
                <w:rFonts w:ascii="仿宋" w:hAnsi="仿宋" w:eastAsia="仿宋" w:cs="Times New Roman"/>
                <w:color w:val="auto"/>
                <w:sz w:val="21"/>
                <w:szCs w:val="21"/>
                <w:highlight w:val="none"/>
              </w:rPr>
            </w:pPr>
          </w:p>
        </w:tc>
      </w:tr>
      <w:tr w14:paraId="75A6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vAlign w:val="center"/>
          </w:tcPr>
          <w:p w14:paraId="6C0D476F">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执业单位</w:t>
            </w:r>
          </w:p>
        </w:tc>
        <w:tc>
          <w:tcPr>
            <w:tcW w:w="7159" w:type="dxa"/>
            <w:gridSpan w:val="6"/>
            <w:vAlign w:val="center"/>
          </w:tcPr>
          <w:p w14:paraId="547A5F4A">
            <w:pPr>
              <w:spacing w:after="0" w:line="320" w:lineRule="exact"/>
              <w:jc w:val="center"/>
              <w:rPr>
                <w:rFonts w:ascii="仿宋" w:hAnsi="仿宋" w:eastAsia="仿宋" w:cs="Times New Roman"/>
                <w:color w:val="auto"/>
                <w:sz w:val="21"/>
                <w:szCs w:val="21"/>
                <w:highlight w:val="none"/>
              </w:rPr>
            </w:pPr>
          </w:p>
        </w:tc>
      </w:tr>
      <w:tr w14:paraId="0EA5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0F4A7F85">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毕业院校</w:t>
            </w:r>
          </w:p>
        </w:tc>
        <w:tc>
          <w:tcPr>
            <w:tcW w:w="7159" w:type="dxa"/>
            <w:gridSpan w:val="6"/>
            <w:vAlign w:val="center"/>
          </w:tcPr>
          <w:p w14:paraId="380ABA9A">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年毕业于            学校        专业</w:t>
            </w:r>
          </w:p>
        </w:tc>
      </w:tr>
      <w:tr w14:paraId="7E7F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vAlign w:val="center"/>
          </w:tcPr>
          <w:p w14:paraId="7E9FAE20">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所获荣誉</w:t>
            </w:r>
          </w:p>
          <w:p w14:paraId="4EE80FFD">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（含所获荣誉级别及名称）</w:t>
            </w:r>
          </w:p>
        </w:tc>
        <w:tc>
          <w:tcPr>
            <w:tcW w:w="7159" w:type="dxa"/>
            <w:gridSpan w:val="6"/>
            <w:vAlign w:val="center"/>
          </w:tcPr>
          <w:p w14:paraId="37BA3B3F">
            <w:pPr>
              <w:spacing w:after="0" w:line="320" w:lineRule="exact"/>
              <w:jc w:val="center"/>
              <w:rPr>
                <w:rFonts w:ascii="仿宋" w:hAnsi="仿宋" w:eastAsia="仿宋" w:cs="Times New Roman"/>
                <w:color w:val="auto"/>
                <w:sz w:val="21"/>
                <w:szCs w:val="21"/>
                <w:highlight w:val="none"/>
              </w:rPr>
            </w:pPr>
          </w:p>
        </w:tc>
      </w:tr>
      <w:tr w14:paraId="4DB9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center"/>
          </w:tcPr>
          <w:p w14:paraId="03361B11">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类似项目的业绩（如有）</w:t>
            </w:r>
          </w:p>
        </w:tc>
      </w:tr>
      <w:tr w14:paraId="53C9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51179B76">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项目名称</w:t>
            </w:r>
          </w:p>
        </w:tc>
        <w:tc>
          <w:tcPr>
            <w:tcW w:w="2077" w:type="dxa"/>
            <w:gridSpan w:val="2"/>
            <w:vAlign w:val="center"/>
          </w:tcPr>
          <w:p w14:paraId="11B3D40A">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标的金额</w:t>
            </w:r>
          </w:p>
        </w:tc>
        <w:tc>
          <w:tcPr>
            <w:tcW w:w="1859" w:type="dxa"/>
            <w:gridSpan w:val="2"/>
            <w:vAlign w:val="center"/>
          </w:tcPr>
          <w:p w14:paraId="3ADA32C3">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案件结果/阶段</w:t>
            </w:r>
          </w:p>
        </w:tc>
        <w:tc>
          <w:tcPr>
            <w:tcW w:w="1921" w:type="dxa"/>
            <w:vAlign w:val="center"/>
          </w:tcPr>
          <w:p w14:paraId="5FDA4658">
            <w:pPr>
              <w:spacing w:after="0" w:line="320" w:lineRule="exact"/>
              <w:jc w:val="center"/>
              <w:rPr>
                <w:rFonts w:ascii="仿宋" w:hAnsi="仿宋" w:eastAsia="仿宋" w:cs="Times New Roman"/>
                <w:color w:val="auto"/>
                <w:sz w:val="21"/>
                <w:szCs w:val="21"/>
                <w:highlight w:val="none"/>
              </w:rPr>
            </w:pPr>
            <w:r>
              <w:rPr>
                <w:rFonts w:ascii="仿宋" w:hAnsi="仿宋" w:eastAsia="仿宋" w:cs="Times New Roman"/>
                <w:color w:val="auto"/>
                <w:sz w:val="21"/>
                <w:szCs w:val="21"/>
                <w:highlight w:val="none"/>
              </w:rPr>
              <w:t>发包人</w:t>
            </w:r>
          </w:p>
        </w:tc>
      </w:tr>
      <w:tr w14:paraId="7B91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74480362">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09B6C529">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43B6616E">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46C480E4">
            <w:pPr>
              <w:widowControl w:val="0"/>
              <w:spacing w:after="0" w:line="480" w:lineRule="exact"/>
              <w:jc w:val="both"/>
              <w:rPr>
                <w:rFonts w:ascii="仿宋" w:hAnsi="仿宋" w:eastAsia="仿宋" w:cs="Times New Roman"/>
                <w:sz w:val="24"/>
                <w:szCs w:val="20"/>
                <w:highlight w:val="none"/>
              </w:rPr>
            </w:pPr>
          </w:p>
        </w:tc>
      </w:tr>
      <w:tr w14:paraId="046D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vAlign w:val="center"/>
          </w:tcPr>
          <w:p w14:paraId="1AC34CF7">
            <w:pPr>
              <w:widowControl w:val="0"/>
              <w:spacing w:after="0" w:line="480" w:lineRule="exact"/>
              <w:jc w:val="both"/>
              <w:rPr>
                <w:rFonts w:ascii="仿宋" w:hAnsi="仿宋" w:eastAsia="仿宋" w:cs="Times New Roman"/>
                <w:sz w:val="24"/>
                <w:szCs w:val="20"/>
                <w:highlight w:val="none"/>
              </w:rPr>
            </w:pPr>
          </w:p>
        </w:tc>
        <w:tc>
          <w:tcPr>
            <w:tcW w:w="2077" w:type="dxa"/>
            <w:gridSpan w:val="2"/>
            <w:vAlign w:val="center"/>
          </w:tcPr>
          <w:p w14:paraId="516C6124">
            <w:pPr>
              <w:widowControl w:val="0"/>
              <w:spacing w:after="0" w:line="480" w:lineRule="exact"/>
              <w:jc w:val="both"/>
              <w:rPr>
                <w:rFonts w:ascii="仿宋" w:hAnsi="仿宋" w:eastAsia="仿宋" w:cs="Times New Roman"/>
                <w:sz w:val="24"/>
                <w:szCs w:val="20"/>
                <w:highlight w:val="none"/>
              </w:rPr>
            </w:pPr>
          </w:p>
        </w:tc>
        <w:tc>
          <w:tcPr>
            <w:tcW w:w="1859" w:type="dxa"/>
            <w:gridSpan w:val="2"/>
            <w:vAlign w:val="center"/>
          </w:tcPr>
          <w:p w14:paraId="45D791DF">
            <w:pPr>
              <w:widowControl w:val="0"/>
              <w:spacing w:after="0" w:line="480" w:lineRule="exact"/>
              <w:jc w:val="both"/>
              <w:rPr>
                <w:rFonts w:ascii="仿宋" w:hAnsi="仿宋" w:eastAsia="仿宋" w:cs="Times New Roman"/>
                <w:sz w:val="24"/>
                <w:szCs w:val="20"/>
                <w:highlight w:val="none"/>
              </w:rPr>
            </w:pPr>
          </w:p>
        </w:tc>
        <w:tc>
          <w:tcPr>
            <w:tcW w:w="1921" w:type="dxa"/>
            <w:vAlign w:val="center"/>
          </w:tcPr>
          <w:p w14:paraId="7A03F226">
            <w:pPr>
              <w:widowControl w:val="0"/>
              <w:spacing w:after="0" w:line="480" w:lineRule="exact"/>
              <w:jc w:val="both"/>
              <w:rPr>
                <w:rFonts w:ascii="仿宋" w:hAnsi="仿宋" w:eastAsia="仿宋" w:cs="Times New Roman"/>
                <w:sz w:val="24"/>
                <w:szCs w:val="20"/>
                <w:highlight w:val="none"/>
              </w:rPr>
            </w:pPr>
          </w:p>
        </w:tc>
      </w:tr>
      <w:tr w14:paraId="154B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793B0A99">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691285AB">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069ED527">
            <w:pPr>
              <w:widowControl w:val="0"/>
              <w:spacing w:after="0" w:line="480" w:lineRule="exact"/>
              <w:jc w:val="both"/>
              <w:rPr>
                <w:rFonts w:ascii="仿宋" w:hAnsi="仿宋" w:eastAsia="仿宋" w:cs="Times New Roman"/>
                <w:sz w:val="24"/>
                <w:szCs w:val="20"/>
                <w:highlight w:val="none"/>
              </w:rPr>
            </w:pPr>
          </w:p>
        </w:tc>
        <w:tc>
          <w:tcPr>
            <w:tcW w:w="1921" w:type="dxa"/>
          </w:tcPr>
          <w:p w14:paraId="1663FF74">
            <w:pPr>
              <w:widowControl w:val="0"/>
              <w:spacing w:after="0" w:line="480" w:lineRule="exact"/>
              <w:jc w:val="both"/>
              <w:rPr>
                <w:rFonts w:ascii="仿宋" w:hAnsi="仿宋" w:eastAsia="仿宋" w:cs="Times New Roman"/>
                <w:sz w:val="24"/>
                <w:szCs w:val="20"/>
                <w:highlight w:val="none"/>
              </w:rPr>
            </w:pPr>
          </w:p>
        </w:tc>
      </w:tr>
      <w:tr w14:paraId="26EC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1723FDFC">
            <w:pPr>
              <w:widowControl w:val="0"/>
              <w:spacing w:after="0" w:line="480" w:lineRule="exact"/>
              <w:jc w:val="both"/>
              <w:rPr>
                <w:rFonts w:ascii="仿宋" w:hAnsi="仿宋" w:eastAsia="仿宋" w:cs="Times New Roman"/>
                <w:sz w:val="24"/>
                <w:szCs w:val="20"/>
                <w:highlight w:val="none"/>
              </w:rPr>
            </w:pPr>
          </w:p>
        </w:tc>
        <w:tc>
          <w:tcPr>
            <w:tcW w:w="2077" w:type="dxa"/>
            <w:gridSpan w:val="2"/>
          </w:tcPr>
          <w:p w14:paraId="5AD365B7">
            <w:pPr>
              <w:widowControl w:val="0"/>
              <w:spacing w:after="0" w:line="480" w:lineRule="exact"/>
              <w:jc w:val="both"/>
              <w:rPr>
                <w:rFonts w:ascii="仿宋" w:hAnsi="仿宋" w:eastAsia="仿宋" w:cs="Times New Roman"/>
                <w:sz w:val="24"/>
                <w:szCs w:val="20"/>
                <w:highlight w:val="none"/>
              </w:rPr>
            </w:pPr>
          </w:p>
        </w:tc>
        <w:tc>
          <w:tcPr>
            <w:tcW w:w="1859" w:type="dxa"/>
            <w:gridSpan w:val="2"/>
          </w:tcPr>
          <w:p w14:paraId="7AF20E05">
            <w:pPr>
              <w:widowControl w:val="0"/>
              <w:spacing w:after="0" w:line="480" w:lineRule="exact"/>
              <w:jc w:val="both"/>
              <w:rPr>
                <w:rFonts w:ascii="仿宋" w:hAnsi="仿宋" w:eastAsia="仿宋" w:cs="Times New Roman"/>
                <w:sz w:val="24"/>
                <w:szCs w:val="20"/>
                <w:highlight w:val="none"/>
              </w:rPr>
            </w:pPr>
          </w:p>
        </w:tc>
        <w:tc>
          <w:tcPr>
            <w:tcW w:w="1921" w:type="dxa"/>
          </w:tcPr>
          <w:p w14:paraId="3310CF47">
            <w:pPr>
              <w:widowControl w:val="0"/>
              <w:spacing w:after="0" w:line="480" w:lineRule="exact"/>
              <w:jc w:val="both"/>
              <w:rPr>
                <w:rFonts w:ascii="仿宋" w:hAnsi="仿宋" w:eastAsia="仿宋" w:cs="Times New Roman"/>
                <w:sz w:val="24"/>
                <w:szCs w:val="20"/>
                <w:highlight w:val="none"/>
              </w:rPr>
            </w:pPr>
          </w:p>
        </w:tc>
      </w:tr>
    </w:tbl>
    <w:p w14:paraId="5E0AED82">
      <w:pPr>
        <w:ind w:firstLine="220" w:firstLineChars="100"/>
        <w:rPr>
          <w:rFonts w:ascii="仿宋" w:hAnsi="仿宋" w:eastAsia="仿宋" w:cs="Times New Roman"/>
          <w:color w:val="auto"/>
          <w:highlight w:val="none"/>
        </w:rPr>
      </w:pPr>
      <w:r>
        <w:rPr>
          <w:rFonts w:ascii="仿宋" w:hAnsi="仿宋" w:eastAsia="仿宋" w:cs="Times New Roman"/>
          <w:color w:val="auto"/>
          <w:highlight w:val="none"/>
        </w:rPr>
        <w:t>注：参选人应在本表后附律师执业证、业绩证明（如有）、荣誉证书（如有）。</w:t>
      </w:r>
    </w:p>
    <w:p w14:paraId="64468956">
      <w:pPr>
        <w:rPr>
          <w:rFonts w:ascii="仿宋" w:hAnsi="仿宋" w:eastAsia="仿宋" w:cs="Times New Roman"/>
          <w:color w:val="auto"/>
          <w:highlight w:val="none"/>
        </w:rPr>
      </w:pPr>
      <w:r>
        <w:rPr>
          <w:rFonts w:ascii="仿宋" w:hAnsi="仿宋" w:eastAsia="仿宋" w:cs="Times New Roman"/>
          <w:color w:val="auto"/>
          <w:highlight w:val="none"/>
        </w:rPr>
        <w:br w:type="page"/>
      </w:r>
    </w:p>
    <w:p w14:paraId="010FA4C7">
      <w:pPr>
        <w:pStyle w:val="5"/>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五</w:t>
      </w:r>
      <w:r>
        <w:rPr>
          <w:rFonts w:ascii="仿宋" w:hAnsi="仿宋" w:eastAsia="仿宋" w:cs="Times New Roman"/>
          <w:color w:val="auto"/>
          <w:sz w:val="32"/>
          <w:szCs w:val="32"/>
          <w:highlight w:val="none"/>
        </w:rPr>
        <w:t>、保密承诺书</w:t>
      </w:r>
    </w:p>
    <w:p w14:paraId="5031156C">
      <w:pPr>
        <w:widowControl w:val="0"/>
        <w:adjustRightInd w:val="0"/>
        <w:spacing w:after="0" w:line="440" w:lineRule="exact"/>
        <w:ind w:left="602" w:hanging="602" w:hangingChars="200"/>
        <w:jc w:val="center"/>
        <w:textAlignment w:val="baseline"/>
        <w:rPr>
          <w:rFonts w:ascii="仿宋" w:hAnsi="仿宋" w:eastAsia="仿宋" w:cs="Times New Roman"/>
          <w:b/>
          <w:kern w:val="0"/>
          <w:sz w:val="30"/>
          <w:szCs w:val="30"/>
          <w:highlight w:val="none"/>
        </w:rPr>
      </w:pPr>
    </w:p>
    <w:p w14:paraId="060FB3BF">
      <w:pPr>
        <w:adjustRightInd w:val="0"/>
        <w:snapToGrid w:val="0"/>
        <w:spacing w:after="0" w:line="440" w:lineRule="exact"/>
        <w:jc w:val="both"/>
        <w:rPr>
          <w:rFonts w:ascii="仿宋" w:hAnsi="仿宋" w:eastAsia="仿宋" w:cs="Times New Roman"/>
          <w:sz w:val="24"/>
          <w:szCs w:val="24"/>
          <w:highlight w:val="none"/>
        </w:rPr>
      </w:pPr>
      <w:r>
        <w:rPr>
          <w:rFonts w:ascii="仿宋" w:hAnsi="仿宋" w:eastAsia="仿宋" w:cs="Times New Roman"/>
          <w:sz w:val="24"/>
          <w:szCs w:val="24"/>
          <w:highlight w:val="none"/>
        </w:rPr>
        <w:t>四川蜀物兴川物流发展有限公司：</w:t>
      </w:r>
    </w:p>
    <w:p w14:paraId="236F475B">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就四川蜀物兴川物流发展有限公司</w:t>
      </w:r>
      <w:r>
        <w:rPr>
          <w:rFonts w:hint="eastAsia" w:ascii="仿宋" w:hAnsi="仿宋" w:eastAsia="仿宋" w:cs="Times New Roman"/>
          <w:sz w:val="24"/>
          <w:szCs w:val="24"/>
          <w:highlight w:val="none"/>
          <w:lang w:val="en-US" w:eastAsia="zh-CN"/>
        </w:rPr>
        <w:t>关于</w:t>
      </w:r>
      <w:r>
        <w:rPr>
          <w:rFonts w:hint="eastAsia" w:ascii="仿宋" w:hAnsi="仿宋" w:eastAsia="仿宋" w:cs="Times New Roman"/>
          <w:sz w:val="24"/>
          <w:szCs w:val="24"/>
          <w:highlight w:val="none"/>
        </w:rPr>
        <w:t>与江苏某2家国有企业买卖合同纠纷法律服务</w:t>
      </w:r>
      <w:r>
        <w:rPr>
          <w:rFonts w:ascii="仿宋" w:hAnsi="仿宋" w:eastAsia="仿宋" w:cs="Times New Roman"/>
          <w:sz w:val="24"/>
          <w:szCs w:val="24"/>
          <w:highlight w:val="none"/>
        </w:rPr>
        <w:t>项目，我方特做如下保密承诺：</w:t>
      </w:r>
    </w:p>
    <w:p w14:paraId="7F1144E6">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不论项目是否成交，对因上述项目我方所获取的与该项目有关的技术文件以及由比选人提供的所有内部资料、技术文档和信息予以严格保密，并保证不以任何形式（复印或扫描等）进行复制；同时对参与本项目的所有有关人员在使用上述信息、资料文件时进行登记备案；未经比选人书面许可，不以任何形式向第三方透露本项目的任何内容；如我方成交，在后续的合同期间及其结束后，未经比选人书面同意，保证不将与本项目有关的任何资料用于发表和公布，或对外泄露。</w:t>
      </w:r>
    </w:p>
    <w:p w14:paraId="548D1966">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一旦发现或有举报我方人员出现泄密或其他违规行为，经证实后我方除对有关责任人员及时予以相应处理外，完全接受比选人的处理意见，并负责承担由此而产生的一切后果与法律责任。</w:t>
      </w:r>
    </w:p>
    <w:p w14:paraId="441442D5">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如我单位中选，作为专业律师团队，我们将对您的案件进行全面、细致的调查。我们将根据您提供的资料、陈述及相关法律要求进行深入研究，并尽一切努力提供准确、可靠的法律意见。我们将遵循法律、道德和职业规范，为您争取最大的利益。</w:t>
      </w:r>
    </w:p>
    <w:p w14:paraId="5854CAFB">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我们将以高度的责任心和专业精神为贵公司提供法律服务。我们将尽最大努力保证服务交付的及时性和高效性，针对贵公司就本案件的电话咨询，我们承诺即时予以答复；针对贵公司就本案件的书面材料（法律意见书、诉讼相关文书等）我们承诺在48小时内予以反馈。</w:t>
      </w:r>
    </w:p>
    <w:p w14:paraId="47FBE4B6">
      <w:pPr>
        <w:adjustRightInd w:val="0"/>
        <w:snapToGrid w:val="0"/>
        <w:spacing w:after="0" w:line="440" w:lineRule="exact"/>
        <w:ind w:firstLine="480" w:firstLineChars="200"/>
        <w:jc w:val="both"/>
        <w:rPr>
          <w:rFonts w:ascii="仿宋" w:hAnsi="仿宋" w:eastAsia="仿宋" w:cs="Times New Roman"/>
          <w:sz w:val="24"/>
          <w:szCs w:val="24"/>
          <w:highlight w:val="none"/>
        </w:rPr>
      </w:pPr>
      <w:r>
        <w:rPr>
          <w:rFonts w:ascii="仿宋" w:hAnsi="仿宋" w:eastAsia="仿宋" w:cs="Times New Roman"/>
          <w:sz w:val="24"/>
          <w:szCs w:val="24"/>
          <w:highlight w:val="none"/>
        </w:rPr>
        <w:t>特此承诺。</w:t>
      </w:r>
    </w:p>
    <w:p w14:paraId="062DE788">
      <w:pPr>
        <w:adjustRightInd w:val="0"/>
        <w:snapToGrid w:val="0"/>
        <w:spacing w:after="0" w:line="440" w:lineRule="exact"/>
        <w:jc w:val="both"/>
        <w:rPr>
          <w:rFonts w:ascii="仿宋" w:hAnsi="仿宋" w:eastAsia="仿宋" w:cs="Times New Roman"/>
          <w:sz w:val="24"/>
          <w:szCs w:val="24"/>
          <w:highlight w:val="none"/>
        </w:rPr>
      </w:pPr>
    </w:p>
    <w:p w14:paraId="2A18085A">
      <w:pPr>
        <w:adjustRightInd w:val="0"/>
        <w:snapToGrid w:val="0"/>
        <w:spacing w:after="0" w:line="440" w:lineRule="exact"/>
        <w:ind w:firstLine="3840" w:firstLineChars="1600"/>
        <w:rPr>
          <w:rFonts w:ascii="仿宋" w:hAnsi="仿宋" w:eastAsia="仿宋" w:cs="Times New Roman"/>
          <w:sz w:val="24"/>
          <w:szCs w:val="24"/>
          <w:highlight w:val="none"/>
          <w:u w:val="single"/>
        </w:rPr>
      </w:pPr>
      <w:r>
        <w:rPr>
          <w:rFonts w:ascii="仿宋" w:hAnsi="仿宋" w:eastAsia="仿宋" w:cs="Times New Roman"/>
          <w:sz w:val="24"/>
          <w:szCs w:val="24"/>
          <w:highlight w:val="none"/>
        </w:rPr>
        <w:t>承诺人(参选人名称)</w:t>
      </w:r>
      <w:r>
        <w:rPr>
          <w:rFonts w:hint="eastAsia" w:ascii="仿宋" w:hAnsi="仿宋" w:eastAsia="仿宋" w:cs="Times New Roman"/>
          <w:sz w:val="24"/>
          <w:szCs w:val="24"/>
          <w:highlight w:val="none"/>
          <w:lang w:eastAsia="zh-CN"/>
        </w:rPr>
        <w:t>：</w:t>
      </w:r>
      <w:r>
        <w:rPr>
          <w:rFonts w:hint="eastAsia" w:ascii="仿宋" w:hAnsi="仿宋" w:eastAsia="仿宋" w:cs="Times New Roman"/>
          <w:sz w:val="24"/>
          <w:szCs w:val="24"/>
          <w:highlight w:val="none"/>
          <w:u w:val="single"/>
          <w:lang w:val="en-US" w:eastAsia="zh-CN"/>
        </w:rPr>
        <w:t xml:space="preserve">                </w:t>
      </w:r>
      <w:r>
        <w:rPr>
          <w:rFonts w:ascii="仿宋" w:hAnsi="仿宋" w:eastAsia="仿宋" w:cs="Times New Roman"/>
          <w:sz w:val="24"/>
          <w:szCs w:val="24"/>
          <w:highlight w:val="none"/>
          <w:u w:val="single"/>
        </w:rPr>
        <w:t xml:space="preserve">（盖章）        </w:t>
      </w:r>
    </w:p>
    <w:p w14:paraId="77052428">
      <w:pPr>
        <w:widowControl w:val="0"/>
        <w:snapToGrid w:val="0"/>
        <w:spacing w:after="0" w:line="440" w:lineRule="exact"/>
        <w:ind w:firstLine="6240" w:firstLineChars="2600"/>
        <w:jc w:val="both"/>
        <w:rPr>
          <w:rFonts w:ascii="仿宋" w:hAnsi="仿宋" w:eastAsia="仿宋" w:cs="Times New Roman"/>
          <w:sz w:val="24"/>
          <w:szCs w:val="24"/>
          <w:highlight w:val="none"/>
        </w:rPr>
      </w:pPr>
      <w:r>
        <w:rPr>
          <w:rFonts w:ascii="仿宋" w:hAnsi="仿宋" w:eastAsia="仿宋" w:cs="Times New Roman"/>
          <w:sz w:val="24"/>
          <w:szCs w:val="24"/>
          <w:highlight w:val="none"/>
        </w:rPr>
        <w:t>2025年   月   日</w:t>
      </w:r>
    </w:p>
    <w:p w14:paraId="1B490CF7">
      <w:pPr>
        <w:spacing w:after="0" w:line="440" w:lineRule="exact"/>
        <w:rPr>
          <w:rFonts w:ascii="仿宋" w:hAnsi="仿宋" w:eastAsia="仿宋" w:cs="Times New Roman"/>
          <w:sz w:val="24"/>
          <w:szCs w:val="20"/>
          <w:highlight w:val="none"/>
        </w:rPr>
      </w:pPr>
      <w:r>
        <w:rPr>
          <w:rFonts w:ascii="仿宋" w:hAnsi="仿宋" w:eastAsia="仿宋" w:cs="Times New Roman"/>
          <w:sz w:val="24"/>
          <w:szCs w:val="20"/>
          <w:highlight w:val="none"/>
        </w:rPr>
        <w:br w:type="page"/>
      </w:r>
    </w:p>
    <w:p w14:paraId="5C8331ED">
      <w:pPr>
        <w:pStyle w:val="5"/>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六</w:t>
      </w:r>
      <w:r>
        <w:rPr>
          <w:rFonts w:ascii="仿宋" w:hAnsi="仿宋" w:eastAsia="仿宋" w:cs="Times New Roman"/>
          <w:color w:val="auto"/>
          <w:sz w:val="32"/>
          <w:szCs w:val="32"/>
          <w:highlight w:val="none"/>
        </w:rPr>
        <w:t>、服务方案</w:t>
      </w:r>
    </w:p>
    <w:p w14:paraId="301F34E7">
      <w:pPr>
        <w:spacing w:after="0" w:line="240" w:lineRule="auto"/>
        <w:jc w:val="center"/>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（格式自拟）</w:t>
      </w:r>
    </w:p>
    <w:p w14:paraId="383D59A9">
      <w:pPr>
        <w:spacing w:after="0" w:line="240" w:lineRule="auto"/>
        <w:jc w:val="both"/>
        <w:rPr>
          <w:rFonts w:ascii="仿宋" w:hAnsi="仿宋" w:eastAsia="仿宋" w:cs="Times New Roman"/>
          <w:b/>
          <w:bCs/>
          <w:color w:val="auto"/>
          <w:sz w:val="36"/>
          <w:szCs w:val="36"/>
          <w:highlight w:val="none"/>
        </w:rPr>
      </w:pPr>
    </w:p>
    <w:p w14:paraId="24A576C6">
      <w:pPr>
        <w:spacing w:after="0" w:line="240" w:lineRule="auto"/>
        <w:jc w:val="both"/>
        <w:rPr>
          <w:rFonts w:ascii="仿宋" w:hAnsi="仿宋" w:eastAsia="仿宋" w:cs="Times New Roman"/>
          <w:b/>
          <w:bCs/>
          <w:color w:val="auto"/>
          <w:sz w:val="36"/>
          <w:szCs w:val="36"/>
          <w:highlight w:val="none"/>
        </w:rPr>
      </w:pPr>
    </w:p>
    <w:p w14:paraId="7ACA3D41">
      <w:pPr>
        <w:spacing w:after="0" w:line="240" w:lineRule="auto"/>
        <w:jc w:val="both"/>
        <w:rPr>
          <w:rFonts w:ascii="仿宋" w:hAnsi="仿宋" w:eastAsia="仿宋" w:cs="Times New Roman"/>
          <w:b/>
          <w:bCs/>
          <w:color w:val="auto"/>
          <w:sz w:val="36"/>
          <w:szCs w:val="36"/>
          <w:highlight w:val="none"/>
        </w:rPr>
      </w:pPr>
    </w:p>
    <w:p w14:paraId="3B9CD0B6">
      <w:pPr>
        <w:spacing w:after="0" w:line="240" w:lineRule="auto"/>
        <w:jc w:val="both"/>
        <w:rPr>
          <w:rFonts w:ascii="仿宋" w:hAnsi="仿宋" w:eastAsia="仿宋" w:cs="Times New Roman"/>
          <w:b/>
          <w:bCs/>
          <w:color w:val="auto"/>
          <w:sz w:val="36"/>
          <w:szCs w:val="36"/>
          <w:highlight w:val="none"/>
        </w:rPr>
      </w:pPr>
    </w:p>
    <w:p w14:paraId="09FFB7C1">
      <w:pPr>
        <w:spacing w:after="0" w:line="240" w:lineRule="auto"/>
        <w:jc w:val="both"/>
        <w:rPr>
          <w:rFonts w:ascii="仿宋" w:hAnsi="仿宋" w:eastAsia="仿宋" w:cs="Times New Roman"/>
          <w:b/>
          <w:bCs/>
          <w:color w:val="auto"/>
          <w:sz w:val="36"/>
          <w:szCs w:val="36"/>
          <w:highlight w:val="none"/>
        </w:rPr>
      </w:pPr>
    </w:p>
    <w:p w14:paraId="32390E3A">
      <w:pPr>
        <w:spacing w:after="0" w:line="240" w:lineRule="auto"/>
        <w:jc w:val="both"/>
        <w:rPr>
          <w:rFonts w:ascii="仿宋" w:hAnsi="仿宋" w:eastAsia="仿宋" w:cs="Times New Roman"/>
          <w:b/>
          <w:bCs/>
          <w:color w:val="auto"/>
          <w:sz w:val="36"/>
          <w:szCs w:val="36"/>
          <w:highlight w:val="none"/>
        </w:rPr>
      </w:pPr>
    </w:p>
    <w:p w14:paraId="51E399DE">
      <w:pPr>
        <w:spacing w:after="0" w:line="240" w:lineRule="auto"/>
        <w:jc w:val="both"/>
        <w:rPr>
          <w:rFonts w:ascii="仿宋" w:hAnsi="仿宋" w:eastAsia="仿宋" w:cs="Times New Roman"/>
          <w:b/>
          <w:bCs/>
          <w:color w:val="auto"/>
          <w:sz w:val="36"/>
          <w:szCs w:val="36"/>
          <w:highlight w:val="none"/>
        </w:rPr>
      </w:pPr>
    </w:p>
    <w:p w14:paraId="2392A87A">
      <w:pPr>
        <w:spacing w:after="0" w:line="240" w:lineRule="auto"/>
        <w:jc w:val="both"/>
        <w:rPr>
          <w:rFonts w:ascii="仿宋" w:hAnsi="仿宋" w:eastAsia="仿宋" w:cs="Times New Roman"/>
          <w:b/>
          <w:bCs/>
          <w:color w:val="auto"/>
          <w:sz w:val="36"/>
          <w:szCs w:val="36"/>
          <w:highlight w:val="none"/>
        </w:rPr>
      </w:pPr>
    </w:p>
    <w:p w14:paraId="4C560718">
      <w:pPr>
        <w:spacing w:after="0" w:line="240" w:lineRule="auto"/>
        <w:jc w:val="both"/>
        <w:rPr>
          <w:rFonts w:ascii="仿宋" w:hAnsi="仿宋" w:eastAsia="仿宋" w:cs="Times New Roman"/>
          <w:b/>
          <w:bCs/>
          <w:color w:val="auto"/>
          <w:sz w:val="36"/>
          <w:szCs w:val="36"/>
          <w:highlight w:val="none"/>
        </w:rPr>
      </w:pPr>
    </w:p>
    <w:p w14:paraId="1B5AF518">
      <w:pPr>
        <w:spacing w:after="0" w:line="240" w:lineRule="auto"/>
        <w:jc w:val="both"/>
        <w:rPr>
          <w:rFonts w:ascii="仿宋" w:hAnsi="仿宋" w:eastAsia="仿宋" w:cs="Times New Roman"/>
          <w:b/>
          <w:bCs/>
          <w:color w:val="auto"/>
          <w:sz w:val="36"/>
          <w:szCs w:val="36"/>
          <w:highlight w:val="none"/>
        </w:rPr>
      </w:pPr>
    </w:p>
    <w:p w14:paraId="0B79573D">
      <w:pPr>
        <w:spacing w:after="0" w:line="240" w:lineRule="auto"/>
        <w:jc w:val="both"/>
        <w:rPr>
          <w:rFonts w:ascii="仿宋" w:hAnsi="仿宋" w:eastAsia="仿宋" w:cs="Times New Roman"/>
          <w:b/>
          <w:bCs/>
          <w:color w:val="auto"/>
          <w:sz w:val="36"/>
          <w:szCs w:val="36"/>
          <w:highlight w:val="none"/>
        </w:rPr>
      </w:pPr>
    </w:p>
    <w:p w14:paraId="49147782">
      <w:pPr>
        <w:spacing w:after="0" w:line="240" w:lineRule="auto"/>
        <w:jc w:val="both"/>
        <w:rPr>
          <w:rFonts w:ascii="仿宋" w:hAnsi="仿宋" w:eastAsia="仿宋" w:cs="Times New Roman"/>
          <w:b/>
          <w:bCs/>
          <w:color w:val="auto"/>
          <w:sz w:val="36"/>
          <w:szCs w:val="36"/>
          <w:highlight w:val="none"/>
        </w:rPr>
      </w:pPr>
    </w:p>
    <w:p w14:paraId="3139807B">
      <w:pPr>
        <w:spacing w:after="0" w:line="240" w:lineRule="auto"/>
        <w:jc w:val="both"/>
        <w:rPr>
          <w:rFonts w:ascii="仿宋" w:hAnsi="仿宋" w:eastAsia="仿宋" w:cs="Times New Roman"/>
          <w:b/>
          <w:bCs/>
          <w:color w:val="auto"/>
          <w:sz w:val="36"/>
          <w:szCs w:val="36"/>
          <w:highlight w:val="none"/>
        </w:rPr>
      </w:pPr>
    </w:p>
    <w:p w14:paraId="0602C8C0">
      <w:pPr>
        <w:spacing w:after="0" w:line="240" w:lineRule="auto"/>
        <w:jc w:val="both"/>
        <w:rPr>
          <w:rFonts w:ascii="仿宋" w:hAnsi="仿宋" w:eastAsia="仿宋" w:cs="Times New Roman"/>
          <w:b/>
          <w:bCs/>
          <w:color w:val="auto"/>
          <w:sz w:val="36"/>
          <w:szCs w:val="36"/>
          <w:highlight w:val="none"/>
        </w:rPr>
      </w:pPr>
    </w:p>
    <w:p w14:paraId="33DC2DF7">
      <w:pPr>
        <w:spacing w:after="0" w:line="240" w:lineRule="auto"/>
        <w:jc w:val="both"/>
        <w:rPr>
          <w:rFonts w:ascii="仿宋" w:hAnsi="仿宋" w:eastAsia="仿宋" w:cs="Times New Roman"/>
          <w:b/>
          <w:bCs/>
          <w:color w:val="auto"/>
          <w:sz w:val="36"/>
          <w:szCs w:val="36"/>
          <w:highlight w:val="none"/>
        </w:rPr>
      </w:pPr>
    </w:p>
    <w:p w14:paraId="20DC29C2">
      <w:pPr>
        <w:spacing w:after="0" w:line="240" w:lineRule="auto"/>
        <w:jc w:val="both"/>
        <w:rPr>
          <w:rFonts w:ascii="仿宋" w:hAnsi="仿宋" w:eastAsia="仿宋" w:cs="Times New Roman"/>
          <w:b/>
          <w:bCs/>
          <w:color w:val="auto"/>
          <w:sz w:val="36"/>
          <w:szCs w:val="36"/>
          <w:highlight w:val="none"/>
        </w:rPr>
      </w:pPr>
    </w:p>
    <w:p w14:paraId="393AC6D4">
      <w:pPr>
        <w:spacing w:after="0" w:line="240" w:lineRule="auto"/>
        <w:jc w:val="both"/>
        <w:rPr>
          <w:rFonts w:ascii="仿宋" w:hAnsi="仿宋" w:eastAsia="仿宋" w:cs="Times New Roman"/>
          <w:b/>
          <w:bCs/>
          <w:color w:val="auto"/>
          <w:sz w:val="36"/>
          <w:szCs w:val="36"/>
          <w:highlight w:val="none"/>
        </w:rPr>
      </w:pPr>
    </w:p>
    <w:p w14:paraId="1EEA7435">
      <w:pPr>
        <w:spacing w:after="0" w:line="240" w:lineRule="auto"/>
        <w:jc w:val="both"/>
        <w:rPr>
          <w:rFonts w:ascii="仿宋" w:hAnsi="仿宋" w:eastAsia="仿宋" w:cs="Times New Roman"/>
          <w:b/>
          <w:bCs/>
          <w:color w:val="auto"/>
          <w:sz w:val="36"/>
          <w:szCs w:val="36"/>
          <w:highlight w:val="none"/>
        </w:rPr>
      </w:pPr>
    </w:p>
    <w:p w14:paraId="2378C9C8">
      <w:pPr>
        <w:spacing w:after="0" w:line="240" w:lineRule="auto"/>
        <w:jc w:val="both"/>
        <w:rPr>
          <w:rFonts w:ascii="仿宋" w:hAnsi="仿宋" w:eastAsia="仿宋" w:cs="Times New Roman"/>
          <w:b/>
          <w:bCs/>
          <w:color w:val="auto"/>
          <w:sz w:val="36"/>
          <w:szCs w:val="36"/>
          <w:highlight w:val="none"/>
        </w:rPr>
      </w:pPr>
    </w:p>
    <w:p w14:paraId="6BE1BDCB">
      <w:pPr>
        <w:spacing w:after="0" w:line="240" w:lineRule="auto"/>
        <w:jc w:val="both"/>
        <w:rPr>
          <w:rFonts w:ascii="仿宋" w:hAnsi="仿宋" w:eastAsia="仿宋" w:cs="Times New Roman"/>
          <w:b/>
          <w:bCs/>
          <w:color w:val="auto"/>
          <w:sz w:val="36"/>
          <w:szCs w:val="36"/>
          <w:highlight w:val="none"/>
        </w:rPr>
      </w:pPr>
    </w:p>
    <w:p w14:paraId="4E3B012B">
      <w:pPr>
        <w:spacing w:after="0" w:line="240" w:lineRule="auto"/>
        <w:jc w:val="both"/>
        <w:rPr>
          <w:rFonts w:ascii="仿宋" w:hAnsi="仿宋" w:eastAsia="仿宋" w:cs="Times New Roman"/>
          <w:b/>
          <w:bCs/>
          <w:color w:val="auto"/>
          <w:sz w:val="36"/>
          <w:szCs w:val="36"/>
          <w:highlight w:val="none"/>
        </w:rPr>
      </w:pPr>
    </w:p>
    <w:p w14:paraId="48A8A22A">
      <w:pPr>
        <w:spacing w:after="0" w:line="240" w:lineRule="auto"/>
        <w:jc w:val="both"/>
        <w:rPr>
          <w:rFonts w:ascii="仿宋" w:hAnsi="仿宋" w:eastAsia="仿宋" w:cs="Times New Roman"/>
          <w:b/>
          <w:bCs/>
          <w:color w:val="auto"/>
          <w:sz w:val="36"/>
          <w:szCs w:val="36"/>
          <w:highlight w:val="none"/>
        </w:rPr>
      </w:pPr>
    </w:p>
    <w:p w14:paraId="7AC6A609">
      <w:pPr>
        <w:pStyle w:val="5"/>
        <w:spacing w:after="0" w:line="360" w:lineRule="auto"/>
        <w:ind w:left="0" w:right="0" w:firstLine="0"/>
        <w:jc w:val="center"/>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val="en-US" w:eastAsia="zh-CN"/>
        </w:rPr>
        <w:t>七</w:t>
      </w:r>
      <w:r>
        <w:rPr>
          <w:rFonts w:ascii="仿宋" w:hAnsi="仿宋" w:eastAsia="仿宋" w:cs="Times New Roman"/>
          <w:color w:val="auto"/>
          <w:sz w:val="32"/>
          <w:szCs w:val="32"/>
          <w:highlight w:val="none"/>
        </w:rPr>
        <w:t>、其他资料（如有）</w:t>
      </w:r>
    </w:p>
    <w:p w14:paraId="31DC9E1B">
      <w:pPr>
        <w:adjustRightInd w:val="0"/>
        <w:snapToGrid w:val="0"/>
        <w:spacing w:after="0" w:line="360" w:lineRule="auto"/>
        <w:jc w:val="center"/>
        <w:rPr>
          <w:rFonts w:ascii="仿宋" w:hAnsi="仿宋" w:eastAsia="仿宋" w:cs="Times New Roman"/>
          <w:sz w:val="24"/>
          <w:szCs w:val="24"/>
          <w:highlight w:val="none"/>
        </w:rPr>
      </w:pPr>
      <w:r>
        <w:rPr>
          <w:rFonts w:ascii="仿宋" w:hAnsi="仿宋" w:eastAsia="仿宋" w:cs="Times New Roman"/>
          <w:sz w:val="24"/>
          <w:szCs w:val="24"/>
          <w:highlight w:val="none"/>
        </w:rPr>
        <w:t>注：比选文件要求提交的其他文件或参选人认为需补充说明的资料。</w:t>
      </w:r>
    </w:p>
    <w:sectPr>
      <w:pgSz w:w="12240" w:h="15840"/>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
    <w:altName w:val="宋体"/>
    <w:panose1 w:val="020B0604020202020204"/>
    <w:charset w:val="81"/>
    <w:family w:val="roman"/>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embedRegular r:id="rId1" w:fontKey="{EAD9B587-851F-47A8-B595-3BE3D62DAE04}"/>
  </w:font>
  <w:font w:name="小标宋">
    <w:altName w:val="方正小标宋简体"/>
    <w:panose1 w:val="020B0604020202020204"/>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558608C8-8E72-418F-AFD0-3687E6C1D28B}"/>
  </w:font>
  <w:font w:name="仿宋">
    <w:panose1 w:val="02010609060101010101"/>
    <w:charset w:val="86"/>
    <w:family w:val="modern"/>
    <w:pitch w:val="default"/>
    <w:sig w:usb0="800002BF" w:usb1="38CF7CFA" w:usb2="00000016" w:usb3="00000000" w:csb0="00040001" w:csb1="00000000"/>
    <w:embedRegular r:id="rId3" w:fontKey="{07D7A44E-AC79-4454-A946-1FC970E949D9}"/>
  </w:font>
  <w:font w:name="仿宋_GB2312">
    <w:panose1 w:val="02010609030101010101"/>
    <w:charset w:val="86"/>
    <w:family w:val="auto"/>
    <w:pitch w:val="default"/>
    <w:sig w:usb0="00000001" w:usb1="080E0000" w:usb2="00000000" w:usb3="00000000" w:csb0="00040000" w:csb1="00000000"/>
    <w:embedRegular r:id="rId4" w:fontKey="{0A36B443-39FC-48B2-9A5F-7483863DC4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FD725">
    <w:pPr>
      <w:spacing w:after="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00DD">
    <w:pPr>
      <w:spacing w:after="0"/>
      <w:rPr>
        <w:rFonts w:eastAsiaTheme="minor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6EE20">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356EE20">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A37C">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3393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B33393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AAD2">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72787">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2772787">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17</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4A3AA">
    <w:pPr>
      <w:pStyle w:val="20"/>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8B17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F88B17A">
                    <w:pPr>
                      <w:pStyle w:val="2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18</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p w14:paraId="0A0D3DB6">
    <w:pPr>
      <w:widowControl w:val="0"/>
      <w:snapToGrid w:val="0"/>
      <w:rPr>
        <w:rFonts w:ascii="Times New Roman" w:hAnsi="Times New Roman" w:eastAsia="仿宋_GB2312"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E75B4B"/>
    <w:multiLevelType w:val="singleLevel"/>
    <w:tmpl w:val="40E75B4B"/>
    <w:lvl w:ilvl="0" w:tentative="0">
      <w:start w:val="1"/>
      <w:numFmt w:val="decimal"/>
      <w:suff w:val="nothing"/>
      <w:lvlText w:val="%1."/>
      <w:lvlJc w:val="left"/>
      <w:pPr>
        <w:ind w:left="0" w:firstLine="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72A27"/>
    <w:rsid w:val="0001198A"/>
    <w:rsid w:val="00014D9D"/>
    <w:rsid w:val="00015A06"/>
    <w:rsid w:val="00021E50"/>
    <w:rsid w:val="00027930"/>
    <w:rsid w:val="00044456"/>
    <w:rsid w:val="00054A25"/>
    <w:rsid w:val="000662F6"/>
    <w:rsid w:val="000735AF"/>
    <w:rsid w:val="0007792D"/>
    <w:rsid w:val="00084446"/>
    <w:rsid w:val="00084D91"/>
    <w:rsid w:val="0008672F"/>
    <w:rsid w:val="00090DAE"/>
    <w:rsid w:val="00091A3B"/>
    <w:rsid w:val="000A033F"/>
    <w:rsid w:val="000A36B5"/>
    <w:rsid w:val="000A725D"/>
    <w:rsid w:val="000A7B29"/>
    <w:rsid w:val="000B7599"/>
    <w:rsid w:val="000C002D"/>
    <w:rsid w:val="000C0370"/>
    <w:rsid w:val="000C1FBF"/>
    <w:rsid w:val="000C24D7"/>
    <w:rsid w:val="000C5F6C"/>
    <w:rsid w:val="000D16FA"/>
    <w:rsid w:val="000F502B"/>
    <w:rsid w:val="000F5953"/>
    <w:rsid w:val="000F743F"/>
    <w:rsid w:val="001112E5"/>
    <w:rsid w:val="001113BD"/>
    <w:rsid w:val="001149E1"/>
    <w:rsid w:val="00114CCB"/>
    <w:rsid w:val="0011506F"/>
    <w:rsid w:val="0012211F"/>
    <w:rsid w:val="00130911"/>
    <w:rsid w:val="00130990"/>
    <w:rsid w:val="001323EA"/>
    <w:rsid w:val="00136ADA"/>
    <w:rsid w:val="00143594"/>
    <w:rsid w:val="0014382B"/>
    <w:rsid w:val="00144687"/>
    <w:rsid w:val="00151A29"/>
    <w:rsid w:val="00153B1A"/>
    <w:rsid w:val="00156E11"/>
    <w:rsid w:val="0016622A"/>
    <w:rsid w:val="00172A27"/>
    <w:rsid w:val="00175303"/>
    <w:rsid w:val="0017629B"/>
    <w:rsid w:val="0017753D"/>
    <w:rsid w:val="00181D75"/>
    <w:rsid w:val="00183742"/>
    <w:rsid w:val="001843AE"/>
    <w:rsid w:val="0019084A"/>
    <w:rsid w:val="00192FF1"/>
    <w:rsid w:val="0019619B"/>
    <w:rsid w:val="001A1AE6"/>
    <w:rsid w:val="001A2855"/>
    <w:rsid w:val="001B376F"/>
    <w:rsid w:val="001C3602"/>
    <w:rsid w:val="001D3FE7"/>
    <w:rsid w:val="001D6BDB"/>
    <w:rsid w:val="001D6E3D"/>
    <w:rsid w:val="001E39BA"/>
    <w:rsid w:val="001F7125"/>
    <w:rsid w:val="00203D00"/>
    <w:rsid w:val="0020419F"/>
    <w:rsid w:val="00206292"/>
    <w:rsid w:val="00217EF6"/>
    <w:rsid w:val="00225D05"/>
    <w:rsid w:val="00227C14"/>
    <w:rsid w:val="002319EE"/>
    <w:rsid w:val="00232CCF"/>
    <w:rsid w:val="0023500B"/>
    <w:rsid w:val="002353C3"/>
    <w:rsid w:val="00235593"/>
    <w:rsid w:val="0023621F"/>
    <w:rsid w:val="002409E0"/>
    <w:rsid w:val="00245A9E"/>
    <w:rsid w:val="00245D1A"/>
    <w:rsid w:val="002562EC"/>
    <w:rsid w:val="00257260"/>
    <w:rsid w:val="00265544"/>
    <w:rsid w:val="00265934"/>
    <w:rsid w:val="00266701"/>
    <w:rsid w:val="00275703"/>
    <w:rsid w:val="002772AD"/>
    <w:rsid w:val="00282841"/>
    <w:rsid w:val="002876B8"/>
    <w:rsid w:val="002954E1"/>
    <w:rsid w:val="002A42C3"/>
    <w:rsid w:val="002A7229"/>
    <w:rsid w:val="002B07B4"/>
    <w:rsid w:val="002B1B51"/>
    <w:rsid w:val="002B1DB3"/>
    <w:rsid w:val="002B5AF8"/>
    <w:rsid w:val="002B7298"/>
    <w:rsid w:val="002C0AAA"/>
    <w:rsid w:val="002D4BB1"/>
    <w:rsid w:val="002D55CB"/>
    <w:rsid w:val="002D6FAB"/>
    <w:rsid w:val="002D72E3"/>
    <w:rsid w:val="002E5B34"/>
    <w:rsid w:val="002F35E9"/>
    <w:rsid w:val="00304F0E"/>
    <w:rsid w:val="0031007C"/>
    <w:rsid w:val="003113C1"/>
    <w:rsid w:val="003113FA"/>
    <w:rsid w:val="00312557"/>
    <w:rsid w:val="00313871"/>
    <w:rsid w:val="003168CE"/>
    <w:rsid w:val="00331BD9"/>
    <w:rsid w:val="00341E17"/>
    <w:rsid w:val="00342416"/>
    <w:rsid w:val="00345595"/>
    <w:rsid w:val="003456D4"/>
    <w:rsid w:val="00350F41"/>
    <w:rsid w:val="003536AB"/>
    <w:rsid w:val="00355F55"/>
    <w:rsid w:val="00357B2F"/>
    <w:rsid w:val="003601DB"/>
    <w:rsid w:val="0036275B"/>
    <w:rsid w:val="003707A0"/>
    <w:rsid w:val="00386A2B"/>
    <w:rsid w:val="003905B3"/>
    <w:rsid w:val="003914C2"/>
    <w:rsid w:val="0039247F"/>
    <w:rsid w:val="00392FEB"/>
    <w:rsid w:val="00394DCF"/>
    <w:rsid w:val="003A39E1"/>
    <w:rsid w:val="003A75B6"/>
    <w:rsid w:val="003A7FA5"/>
    <w:rsid w:val="003C0331"/>
    <w:rsid w:val="003C2894"/>
    <w:rsid w:val="003D167A"/>
    <w:rsid w:val="003D355B"/>
    <w:rsid w:val="003D40EE"/>
    <w:rsid w:val="003D541E"/>
    <w:rsid w:val="003E136C"/>
    <w:rsid w:val="003F325D"/>
    <w:rsid w:val="0041089E"/>
    <w:rsid w:val="00413AF8"/>
    <w:rsid w:val="00417698"/>
    <w:rsid w:val="004207A9"/>
    <w:rsid w:val="004417EE"/>
    <w:rsid w:val="00442C03"/>
    <w:rsid w:val="00455F24"/>
    <w:rsid w:val="00463BB4"/>
    <w:rsid w:val="004673B9"/>
    <w:rsid w:val="00467CBF"/>
    <w:rsid w:val="00470117"/>
    <w:rsid w:val="0047146D"/>
    <w:rsid w:val="004775A7"/>
    <w:rsid w:val="00480C5D"/>
    <w:rsid w:val="00483C33"/>
    <w:rsid w:val="00486F58"/>
    <w:rsid w:val="00487FF1"/>
    <w:rsid w:val="004929AE"/>
    <w:rsid w:val="00496490"/>
    <w:rsid w:val="00497326"/>
    <w:rsid w:val="004A16D3"/>
    <w:rsid w:val="004A1FD0"/>
    <w:rsid w:val="004A5F86"/>
    <w:rsid w:val="004A7824"/>
    <w:rsid w:val="004B5C62"/>
    <w:rsid w:val="004B7999"/>
    <w:rsid w:val="004C0B5D"/>
    <w:rsid w:val="004C5AA6"/>
    <w:rsid w:val="004C65E0"/>
    <w:rsid w:val="004C76C8"/>
    <w:rsid w:val="004D3E32"/>
    <w:rsid w:val="004D4511"/>
    <w:rsid w:val="004D673E"/>
    <w:rsid w:val="004F0B65"/>
    <w:rsid w:val="004F2B9C"/>
    <w:rsid w:val="004F76CB"/>
    <w:rsid w:val="00501E57"/>
    <w:rsid w:val="005030C5"/>
    <w:rsid w:val="0050331B"/>
    <w:rsid w:val="00503E48"/>
    <w:rsid w:val="005042F1"/>
    <w:rsid w:val="0050641E"/>
    <w:rsid w:val="005071CE"/>
    <w:rsid w:val="005103AA"/>
    <w:rsid w:val="005109AD"/>
    <w:rsid w:val="005111FB"/>
    <w:rsid w:val="00514976"/>
    <w:rsid w:val="0051790D"/>
    <w:rsid w:val="00522817"/>
    <w:rsid w:val="00522837"/>
    <w:rsid w:val="00526051"/>
    <w:rsid w:val="00526FA1"/>
    <w:rsid w:val="00536CA1"/>
    <w:rsid w:val="0054650C"/>
    <w:rsid w:val="00554668"/>
    <w:rsid w:val="00555533"/>
    <w:rsid w:val="0055687C"/>
    <w:rsid w:val="005710D4"/>
    <w:rsid w:val="00573035"/>
    <w:rsid w:val="00583AFB"/>
    <w:rsid w:val="005845EB"/>
    <w:rsid w:val="0059254D"/>
    <w:rsid w:val="00593036"/>
    <w:rsid w:val="005A1E03"/>
    <w:rsid w:val="005A4F33"/>
    <w:rsid w:val="005B3064"/>
    <w:rsid w:val="005B6DD3"/>
    <w:rsid w:val="005C0F6E"/>
    <w:rsid w:val="005C25C4"/>
    <w:rsid w:val="005C28B9"/>
    <w:rsid w:val="005C404E"/>
    <w:rsid w:val="005C56BB"/>
    <w:rsid w:val="005C5AFC"/>
    <w:rsid w:val="005D1C46"/>
    <w:rsid w:val="005D65A7"/>
    <w:rsid w:val="005E120D"/>
    <w:rsid w:val="005F24E8"/>
    <w:rsid w:val="0060061C"/>
    <w:rsid w:val="00602272"/>
    <w:rsid w:val="00605C0C"/>
    <w:rsid w:val="00606B9E"/>
    <w:rsid w:val="00622F00"/>
    <w:rsid w:val="006304A8"/>
    <w:rsid w:val="0064694E"/>
    <w:rsid w:val="0065041A"/>
    <w:rsid w:val="00650D7A"/>
    <w:rsid w:val="00656642"/>
    <w:rsid w:val="00656C32"/>
    <w:rsid w:val="00662BFE"/>
    <w:rsid w:val="006636FF"/>
    <w:rsid w:val="006639D9"/>
    <w:rsid w:val="00667848"/>
    <w:rsid w:val="00677DDC"/>
    <w:rsid w:val="006800B9"/>
    <w:rsid w:val="00680550"/>
    <w:rsid w:val="0068065C"/>
    <w:rsid w:val="006828C6"/>
    <w:rsid w:val="00682C04"/>
    <w:rsid w:val="006904C9"/>
    <w:rsid w:val="006915AC"/>
    <w:rsid w:val="006A22F3"/>
    <w:rsid w:val="006A5168"/>
    <w:rsid w:val="006B03DF"/>
    <w:rsid w:val="006B7F17"/>
    <w:rsid w:val="006C1756"/>
    <w:rsid w:val="006C7E97"/>
    <w:rsid w:val="006D2124"/>
    <w:rsid w:val="006D543C"/>
    <w:rsid w:val="006E3DB4"/>
    <w:rsid w:val="006F1D5C"/>
    <w:rsid w:val="006F623D"/>
    <w:rsid w:val="00704597"/>
    <w:rsid w:val="007078A0"/>
    <w:rsid w:val="0071082B"/>
    <w:rsid w:val="00720918"/>
    <w:rsid w:val="00730E1F"/>
    <w:rsid w:val="00731F11"/>
    <w:rsid w:val="0073272E"/>
    <w:rsid w:val="00733BD1"/>
    <w:rsid w:val="0074477D"/>
    <w:rsid w:val="00745590"/>
    <w:rsid w:val="0076190E"/>
    <w:rsid w:val="007645E6"/>
    <w:rsid w:val="007674AB"/>
    <w:rsid w:val="00771CD6"/>
    <w:rsid w:val="007842EC"/>
    <w:rsid w:val="007862B8"/>
    <w:rsid w:val="00787089"/>
    <w:rsid w:val="0078722A"/>
    <w:rsid w:val="007B5A9B"/>
    <w:rsid w:val="007B6755"/>
    <w:rsid w:val="007B7211"/>
    <w:rsid w:val="007C0D3D"/>
    <w:rsid w:val="007C37E2"/>
    <w:rsid w:val="007D0717"/>
    <w:rsid w:val="007D4FE4"/>
    <w:rsid w:val="007E3495"/>
    <w:rsid w:val="007E5528"/>
    <w:rsid w:val="007E6AE0"/>
    <w:rsid w:val="007F3E65"/>
    <w:rsid w:val="00800CDF"/>
    <w:rsid w:val="008020F3"/>
    <w:rsid w:val="008029E1"/>
    <w:rsid w:val="00807CAC"/>
    <w:rsid w:val="00811DF1"/>
    <w:rsid w:val="00813125"/>
    <w:rsid w:val="00814239"/>
    <w:rsid w:val="00817F3D"/>
    <w:rsid w:val="00821C30"/>
    <w:rsid w:val="0082278D"/>
    <w:rsid w:val="00822FD8"/>
    <w:rsid w:val="00826665"/>
    <w:rsid w:val="00826847"/>
    <w:rsid w:val="00830FCF"/>
    <w:rsid w:val="0084590F"/>
    <w:rsid w:val="008472C4"/>
    <w:rsid w:val="00850CFD"/>
    <w:rsid w:val="008552D9"/>
    <w:rsid w:val="0086279F"/>
    <w:rsid w:val="008703D3"/>
    <w:rsid w:val="00890D3E"/>
    <w:rsid w:val="00892FD2"/>
    <w:rsid w:val="008933B6"/>
    <w:rsid w:val="00894F40"/>
    <w:rsid w:val="008A2B4D"/>
    <w:rsid w:val="008B01EB"/>
    <w:rsid w:val="008B47C4"/>
    <w:rsid w:val="008B507D"/>
    <w:rsid w:val="008C0E87"/>
    <w:rsid w:val="008C3E9A"/>
    <w:rsid w:val="008C53C1"/>
    <w:rsid w:val="008D2F09"/>
    <w:rsid w:val="008D5E07"/>
    <w:rsid w:val="008E243C"/>
    <w:rsid w:val="008F0B43"/>
    <w:rsid w:val="008F3CDF"/>
    <w:rsid w:val="008F49ED"/>
    <w:rsid w:val="008F7275"/>
    <w:rsid w:val="008F7BAF"/>
    <w:rsid w:val="00902B12"/>
    <w:rsid w:val="00906786"/>
    <w:rsid w:val="00911707"/>
    <w:rsid w:val="0091290F"/>
    <w:rsid w:val="00913285"/>
    <w:rsid w:val="00916776"/>
    <w:rsid w:val="0091720B"/>
    <w:rsid w:val="009178E1"/>
    <w:rsid w:val="009215C3"/>
    <w:rsid w:val="00922DF6"/>
    <w:rsid w:val="00923F93"/>
    <w:rsid w:val="00926038"/>
    <w:rsid w:val="00927021"/>
    <w:rsid w:val="009366E5"/>
    <w:rsid w:val="00937149"/>
    <w:rsid w:val="00941F62"/>
    <w:rsid w:val="00947AAF"/>
    <w:rsid w:val="00950486"/>
    <w:rsid w:val="00953347"/>
    <w:rsid w:val="0095477B"/>
    <w:rsid w:val="00962445"/>
    <w:rsid w:val="00964788"/>
    <w:rsid w:val="00965655"/>
    <w:rsid w:val="00965BEB"/>
    <w:rsid w:val="00975B47"/>
    <w:rsid w:val="00990281"/>
    <w:rsid w:val="009A73AD"/>
    <w:rsid w:val="009B21B9"/>
    <w:rsid w:val="009D3941"/>
    <w:rsid w:val="009D3D66"/>
    <w:rsid w:val="009D72E6"/>
    <w:rsid w:val="009D7900"/>
    <w:rsid w:val="009E3CD1"/>
    <w:rsid w:val="009F0EB8"/>
    <w:rsid w:val="009F136A"/>
    <w:rsid w:val="009F1EE7"/>
    <w:rsid w:val="009F2016"/>
    <w:rsid w:val="009F64FA"/>
    <w:rsid w:val="009F65D0"/>
    <w:rsid w:val="00A12DCF"/>
    <w:rsid w:val="00A16459"/>
    <w:rsid w:val="00A17129"/>
    <w:rsid w:val="00A21E2B"/>
    <w:rsid w:val="00A32526"/>
    <w:rsid w:val="00A33C7B"/>
    <w:rsid w:val="00A35396"/>
    <w:rsid w:val="00A418A6"/>
    <w:rsid w:val="00A46E2D"/>
    <w:rsid w:val="00A50513"/>
    <w:rsid w:val="00A52C55"/>
    <w:rsid w:val="00A62A04"/>
    <w:rsid w:val="00A767CB"/>
    <w:rsid w:val="00A80DB7"/>
    <w:rsid w:val="00A812B3"/>
    <w:rsid w:val="00A8280F"/>
    <w:rsid w:val="00A8362E"/>
    <w:rsid w:val="00A86915"/>
    <w:rsid w:val="00A935A1"/>
    <w:rsid w:val="00A95BD1"/>
    <w:rsid w:val="00A95D22"/>
    <w:rsid w:val="00AA224F"/>
    <w:rsid w:val="00AB7A64"/>
    <w:rsid w:val="00AC4FB2"/>
    <w:rsid w:val="00AC7B97"/>
    <w:rsid w:val="00AD1F92"/>
    <w:rsid w:val="00AD21B0"/>
    <w:rsid w:val="00AD5DE0"/>
    <w:rsid w:val="00AD74EB"/>
    <w:rsid w:val="00AE10BB"/>
    <w:rsid w:val="00AE2EBA"/>
    <w:rsid w:val="00AE5382"/>
    <w:rsid w:val="00AF4A8A"/>
    <w:rsid w:val="00B010A3"/>
    <w:rsid w:val="00B045C5"/>
    <w:rsid w:val="00B0528B"/>
    <w:rsid w:val="00B10050"/>
    <w:rsid w:val="00B1482C"/>
    <w:rsid w:val="00B2277D"/>
    <w:rsid w:val="00B25178"/>
    <w:rsid w:val="00B2564C"/>
    <w:rsid w:val="00B47BA6"/>
    <w:rsid w:val="00B47FFC"/>
    <w:rsid w:val="00B54199"/>
    <w:rsid w:val="00B559C6"/>
    <w:rsid w:val="00B55FA4"/>
    <w:rsid w:val="00B5683A"/>
    <w:rsid w:val="00B57A40"/>
    <w:rsid w:val="00B66121"/>
    <w:rsid w:val="00B67551"/>
    <w:rsid w:val="00B8519F"/>
    <w:rsid w:val="00B92755"/>
    <w:rsid w:val="00B9437C"/>
    <w:rsid w:val="00B9497C"/>
    <w:rsid w:val="00B97D42"/>
    <w:rsid w:val="00BA70F7"/>
    <w:rsid w:val="00BB101E"/>
    <w:rsid w:val="00BB237A"/>
    <w:rsid w:val="00BC4610"/>
    <w:rsid w:val="00BD1C66"/>
    <w:rsid w:val="00BD3507"/>
    <w:rsid w:val="00BD6111"/>
    <w:rsid w:val="00BE5E2F"/>
    <w:rsid w:val="00BF1259"/>
    <w:rsid w:val="00BF3781"/>
    <w:rsid w:val="00BF415D"/>
    <w:rsid w:val="00BF56E8"/>
    <w:rsid w:val="00BF767D"/>
    <w:rsid w:val="00C019D5"/>
    <w:rsid w:val="00C1235A"/>
    <w:rsid w:val="00C232A0"/>
    <w:rsid w:val="00C266BD"/>
    <w:rsid w:val="00C32EAF"/>
    <w:rsid w:val="00C3412D"/>
    <w:rsid w:val="00C40FDF"/>
    <w:rsid w:val="00C45BFF"/>
    <w:rsid w:val="00C47882"/>
    <w:rsid w:val="00C5147F"/>
    <w:rsid w:val="00C574FD"/>
    <w:rsid w:val="00C6697C"/>
    <w:rsid w:val="00C67D86"/>
    <w:rsid w:val="00C724EA"/>
    <w:rsid w:val="00C825DC"/>
    <w:rsid w:val="00C84CA6"/>
    <w:rsid w:val="00C91393"/>
    <w:rsid w:val="00C9229B"/>
    <w:rsid w:val="00C9296F"/>
    <w:rsid w:val="00C94B43"/>
    <w:rsid w:val="00C95E66"/>
    <w:rsid w:val="00C96AD4"/>
    <w:rsid w:val="00C96B57"/>
    <w:rsid w:val="00CA3162"/>
    <w:rsid w:val="00CA4B97"/>
    <w:rsid w:val="00CA64EE"/>
    <w:rsid w:val="00CB0412"/>
    <w:rsid w:val="00CB69FD"/>
    <w:rsid w:val="00CB6B3A"/>
    <w:rsid w:val="00CC4C62"/>
    <w:rsid w:val="00CD0EF3"/>
    <w:rsid w:val="00CE00B1"/>
    <w:rsid w:val="00CE1687"/>
    <w:rsid w:val="00CE55E5"/>
    <w:rsid w:val="00CE7225"/>
    <w:rsid w:val="00CF2B52"/>
    <w:rsid w:val="00CF4DBD"/>
    <w:rsid w:val="00CF6A9D"/>
    <w:rsid w:val="00D056CE"/>
    <w:rsid w:val="00D2127B"/>
    <w:rsid w:val="00D214A5"/>
    <w:rsid w:val="00D225E9"/>
    <w:rsid w:val="00D229F0"/>
    <w:rsid w:val="00D302C6"/>
    <w:rsid w:val="00D410F3"/>
    <w:rsid w:val="00D41EEC"/>
    <w:rsid w:val="00D516AD"/>
    <w:rsid w:val="00D53234"/>
    <w:rsid w:val="00D54BDF"/>
    <w:rsid w:val="00D605DB"/>
    <w:rsid w:val="00D70AEA"/>
    <w:rsid w:val="00D710A6"/>
    <w:rsid w:val="00D72889"/>
    <w:rsid w:val="00D73D43"/>
    <w:rsid w:val="00D763FA"/>
    <w:rsid w:val="00D926BA"/>
    <w:rsid w:val="00D932EE"/>
    <w:rsid w:val="00DA166A"/>
    <w:rsid w:val="00DB28BE"/>
    <w:rsid w:val="00DC1ABC"/>
    <w:rsid w:val="00DC2466"/>
    <w:rsid w:val="00DC26EB"/>
    <w:rsid w:val="00DC3BC8"/>
    <w:rsid w:val="00DC4467"/>
    <w:rsid w:val="00DC63C0"/>
    <w:rsid w:val="00DC7314"/>
    <w:rsid w:val="00DC7542"/>
    <w:rsid w:val="00DD4480"/>
    <w:rsid w:val="00DD58F4"/>
    <w:rsid w:val="00DE306D"/>
    <w:rsid w:val="00DF0263"/>
    <w:rsid w:val="00E00410"/>
    <w:rsid w:val="00E017AC"/>
    <w:rsid w:val="00E037CE"/>
    <w:rsid w:val="00E03CF0"/>
    <w:rsid w:val="00E12901"/>
    <w:rsid w:val="00E23293"/>
    <w:rsid w:val="00E24BF9"/>
    <w:rsid w:val="00E25647"/>
    <w:rsid w:val="00E340D1"/>
    <w:rsid w:val="00E42DFF"/>
    <w:rsid w:val="00E461A9"/>
    <w:rsid w:val="00E47515"/>
    <w:rsid w:val="00E51F2C"/>
    <w:rsid w:val="00E53D03"/>
    <w:rsid w:val="00E64236"/>
    <w:rsid w:val="00E65F9E"/>
    <w:rsid w:val="00E74CD4"/>
    <w:rsid w:val="00E753B2"/>
    <w:rsid w:val="00E86736"/>
    <w:rsid w:val="00E934B3"/>
    <w:rsid w:val="00E9661C"/>
    <w:rsid w:val="00E97B22"/>
    <w:rsid w:val="00EA7199"/>
    <w:rsid w:val="00EB56A3"/>
    <w:rsid w:val="00ED7409"/>
    <w:rsid w:val="00EF6644"/>
    <w:rsid w:val="00F02F59"/>
    <w:rsid w:val="00F07F70"/>
    <w:rsid w:val="00F11B20"/>
    <w:rsid w:val="00F1515C"/>
    <w:rsid w:val="00F15BCC"/>
    <w:rsid w:val="00F17325"/>
    <w:rsid w:val="00F20D29"/>
    <w:rsid w:val="00F24CAF"/>
    <w:rsid w:val="00F25A64"/>
    <w:rsid w:val="00F32195"/>
    <w:rsid w:val="00F34F50"/>
    <w:rsid w:val="00F422A9"/>
    <w:rsid w:val="00F46788"/>
    <w:rsid w:val="00F517F1"/>
    <w:rsid w:val="00F52478"/>
    <w:rsid w:val="00F528D8"/>
    <w:rsid w:val="00F537F3"/>
    <w:rsid w:val="00F547DA"/>
    <w:rsid w:val="00F66C86"/>
    <w:rsid w:val="00F70969"/>
    <w:rsid w:val="00F72786"/>
    <w:rsid w:val="00F80918"/>
    <w:rsid w:val="00F81B5F"/>
    <w:rsid w:val="00F83F14"/>
    <w:rsid w:val="00F86CBA"/>
    <w:rsid w:val="00F8713F"/>
    <w:rsid w:val="00F917C6"/>
    <w:rsid w:val="00F96741"/>
    <w:rsid w:val="00FA040E"/>
    <w:rsid w:val="00FA22C0"/>
    <w:rsid w:val="00FB5B53"/>
    <w:rsid w:val="00FB7993"/>
    <w:rsid w:val="00FC2CD2"/>
    <w:rsid w:val="00FC6FFE"/>
    <w:rsid w:val="00FE4654"/>
    <w:rsid w:val="00FE7B94"/>
    <w:rsid w:val="00FF0024"/>
    <w:rsid w:val="00FF0B28"/>
    <w:rsid w:val="00FF0C82"/>
    <w:rsid w:val="00FF0E1B"/>
    <w:rsid w:val="00FF2F99"/>
    <w:rsid w:val="00FF6825"/>
    <w:rsid w:val="010B405F"/>
    <w:rsid w:val="01362446"/>
    <w:rsid w:val="013B2B96"/>
    <w:rsid w:val="013F35AE"/>
    <w:rsid w:val="01470E5E"/>
    <w:rsid w:val="015B7B3A"/>
    <w:rsid w:val="01604C53"/>
    <w:rsid w:val="016F0A91"/>
    <w:rsid w:val="01A30F67"/>
    <w:rsid w:val="01A96691"/>
    <w:rsid w:val="01AE594C"/>
    <w:rsid w:val="01B82438"/>
    <w:rsid w:val="01D246D6"/>
    <w:rsid w:val="01D81EA2"/>
    <w:rsid w:val="01D851C8"/>
    <w:rsid w:val="01F33470"/>
    <w:rsid w:val="02096A91"/>
    <w:rsid w:val="0216041D"/>
    <w:rsid w:val="02265E3C"/>
    <w:rsid w:val="02377801"/>
    <w:rsid w:val="02452B62"/>
    <w:rsid w:val="025C7A9A"/>
    <w:rsid w:val="0269599F"/>
    <w:rsid w:val="02B26E88"/>
    <w:rsid w:val="02BA039B"/>
    <w:rsid w:val="031D432A"/>
    <w:rsid w:val="032D7D1B"/>
    <w:rsid w:val="03356FA3"/>
    <w:rsid w:val="03607F3E"/>
    <w:rsid w:val="03674F52"/>
    <w:rsid w:val="036839EA"/>
    <w:rsid w:val="036C1719"/>
    <w:rsid w:val="0374413D"/>
    <w:rsid w:val="039447DF"/>
    <w:rsid w:val="0397679F"/>
    <w:rsid w:val="039F618C"/>
    <w:rsid w:val="03B92498"/>
    <w:rsid w:val="03CA0DF8"/>
    <w:rsid w:val="03D35307"/>
    <w:rsid w:val="03F0685D"/>
    <w:rsid w:val="03F86B1C"/>
    <w:rsid w:val="03FF1C76"/>
    <w:rsid w:val="040A0062"/>
    <w:rsid w:val="041F1AE4"/>
    <w:rsid w:val="042E253E"/>
    <w:rsid w:val="042F398A"/>
    <w:rsid w:val="044E5A9E"/>
    <w:rsid w:val="04533AA9"/>
    <w:rsid w:val="045C67C3"/>
    <w:rsid w:val="04D035F5"/>
    <w:rsid w:val="04D70C66"/>
    <w:rsid w:val="04E36D10"/>
    <w:rsid w:val="04E86B91"/>
    <w:rsid w:val="051B2A62"/>
    <w:rsid w:val="056F6B8D"/>
    <w:rsid w:val="0582595C"/>
    <w:rsid w:val="05A4392C"/>
    <w:rsid w:val="05D15877"/>
    <w:rsid w:val="05DB60EB"/>
    <w:rsid w:val="05F253D7"/>
    <w:rsid w:val="05FA7288"/>
    <w:rsid w:val="06101E5C"/>
    <w:rsid w:val="06256B3D"/>
    <w:rsid w:val="062C0CFF"/>
    <w:rsid w:val="06493D58"/>
    <w:rsid w:val="066233F4"/>
    <w:rsid w:val="067A1E38"/>
    <w:rsid w:val="067B57E2"/>
    <w:rsid w:val="068817C6"/>
    <w:rsid w:val="069B6288"/>
    <w:rsid w:val="06E8731C"/>
    <w:rsid w:val="071214CA"/>
    <w:rsid w:val="072B0FB7"/>
    <w:rsid w:val="073C31C4"/>
    <w:rsid w:val="074526C1"/>
    <w:rsid w:val="075F1779"/>
    <w:rsid w:val="07770F35"/>
    <w:rsid w:val="07866B35"/>
    <w:rsid w:val="0788748C"/>
    <w:rsid w:val="078F59E9"/>
    <w:rsid w:val="07925E5E"/>
    <w:rsid w:val="07C65825"/>
    <w:rsid w:val="07D13938"/>
    <w:rsid w:val="07D31ACD"/>
    <w:rsid w:val="07D4164E"/>
    <w:rsid w:val="07F76A43"/>
    <w:rsid w:val="08023775"/>
    <w:rsid w:val="0817778D"/>
    <w:rsid w:val="085E4B0D"/>
    <w:rsid w:val="08732C15"/>
    <w:rsid w:val="08737129"/>
    <w:rsid w:val="08A52FEB"/>
    <w:rsid w:val="08BF5E5A"/>
    <w:rsid w:val="08C94F2B"/>
    <w:rsid w:val="08D00067"/>
    <w:rsid w:val="091F5D9E"/>
    <w:rsid w:val="09380277"/>
    <w:rsid w:val="097F0EFE"/>
    <w:rsid w:val="09A25295"/>
    <w:rsid w:val="09C035C1"/>
    <w:rsid w:val="09C868A5"/>
    <w:rsid w:val="09CD5025"/>
    <w:rsid w:val="09E162A4"/>
    <w:rsid w:val="09E54078"/>
    <w:rsid w:val="09E60BE3"/>
    <w:rsid w:val="09FB7366"/>
    <w:rsid w:val="0A0202F6"/>
    <w:rsid w:val="0A110F86"/>
    <w:rsid w:val="0A1B5312"/>
    <w:rsid w:val="0A393FBA"/>
    <w:rsid w:val="0A4E7E27"/>
    <w:rsid w:val="0A7B2255"/>
    <w:rsid w:val="0A8F5765"/>
    <w:rsid w:val="0A9B46A5"/>
    <w:rsid w:val="0AA31D59"/>
    <w:rsid w:val="0AB10FD5"/>
    <w:rsid w:val="0AB67731"/>
    <w:rsid w:val="0AF50259"/>
    <w:rsid w:val="0AFB467B"/>
    <w:rsid w:val="0B032EC3"/>
    <w:rsid w:val="0B057D70"/>
    <w:rsid w:val="0B106E41"/>
    <w:rsid w:val="0B1701D0"/>
    <w:rsid w:val="0B245710"/>
    <w:rsid w:val="0B2941F9"/>
    <w:rsid w:val="0B4E7969"/>
    <w:rsid w:val="0B52202C"/>
    <w:rsid w:val="0B6E1DBA"/>
    <w:rsid w:val="0B7E674B"/>
    <w:rsid w:val="0BB53545"/>
    <w:rsid w:val="0BD06CE1"/>
    <w:rsid w:val="0BDD4300"/>
    <w:rsid w:val="0BE744EB"/>
    <w:rsid w:val="0C014ED8"/>
    <w:rsid w:val="0C203B45"/>
    <w:rsid w:val="0C4548C9"/>
    <w:rsid w:val="0C6D76D9"/>
    <w:rsid w:val="0C6F5DE9"/>
    <w:rsid w:val="0C8D626F"/>
    <w:rsid w:val="0CCB24AB"/>
    <w:rsid w:val="0CD81BE1"/>
    <w:rsid w:val="0CDA3E5A"/>
    <w:rsid w:val="0CF54541"/>
    <w:rsid w:val="0CF60E20"/>
    <w:rsid w:val="0D00275D"/>
    <w:rsid w:val="0D002EE5"/>
    <w:rsid w:val="0D004C93"/>
    <w:rsid w:val="0D0E5602"/>
    <w:rsid w:val="0D124240"/>
    <w:rsid w:val="0D220C2C"/>
    <w:rsid w:val="0D30650C"/>
    <w:rsid w:val="0D4A7260"/>
    <w:rsid w:val="0D523741"/>
    <w:rsid w:val="0D5F2EF8"/>
    <w:rsid w:val="0D6071CB"/>
    <w:rsid w:val="0D6E006D"/>
    <w:rsid w:val="0D7F317F"/>
    <w:rsid w:val="0D8D1EA9"/>
    <w:rsid w:val="0DAB71F9"/>
    <w:rsid w:val="0DC210EB"/>
    <w:rsid w:val="0DD979BE"/>
    <w:rsid w:val="0E603C3C"/>
    <w:rsid w:val="0E6F3E7F"/>
    <w:rsid w:val="0E724950"/>
    <w:rsid w:val="0E7616B1"/>
    <w:rsid w:val="0E7B6CC7"/>
    <w:rsid w:val="0EA31D7A"/>
    <w:rsid w:val="0EA57089"/>
    <w:rsid w:val="0EA66EBA"/>
    <w:rsid w:val="0EB36461"/>
    <w:rsid w:val="0EBA37C8"/>
    <w:rsid w:val="0EED1247"/>
    <w:rsid w:val="0F136F00"/>
    <w:rsid w:val="0F2B1CE3"/>
    <w:rsid w:val="0F587D43"/>
    <w:rsid w:val="0F98501B"/>
    <w:rsid w:val="0FA43FFC"/>
    <w:rsid w:val="0FCE2E27"/>
    <w:rsid w:val="0FD74FBF"/>
    <w:rsid w:val="0FFE087C"/>
    <w:rsid w:val="0FFE5298"/>
    <w:rsid w:val="100D1EE7"/>
    <w:rsid w:val="10223A25"/>
    <w:rsid w:val="102F2C87"/>
    <w:rsid w:val="10352EA6"/>
    <w:rsid w:val="1041184B"/>
    <w:rsid w:val="105831DB"/>
    <w:rsid w:val="105A46BB"/>
    <w:rsid w:val="105B31DD"/>
    <w:rsid w:val="106A6B29"/>
    <w:rsid w:val="10833EBF"/>
    <w:rsid w:val="10E01064"/>
    <w:rsid w:val="10E96997"/>
    <w:rsid w:val="10FE200C"/>
    <w:rsid w:val="11050ACA"/>
    <w:rsid w:val="110C3C07"/>
    <w:rsid w:val="112223C0"/>
    <w:rsid w:val="11904838"/>
    <w:rsid w:val="1193257A"/>
    <w:rsid w:val="119A3D1B"/>
    <w:rsid w:val="11B76014"/>
    <w:rsid w:val="11BC31DC"/>
    <w:rsid w:val="11CB3AC2"/>
    <w:rsid w:val="11CF2823"/>
    <w:rsid w:val="11E11FBC"/>
    <w:rsid w:val="11F013EE"/>
    <w:rsid w:val="11F320DD"/>
    <w:rsid w:val="12053590"/>
    <w:rsid w:val="122B27B2"/>
    <w:rsid w:val="12311844"/>
    <w:rsid w:val="12311F7A"/>
    <w:rsid w:val="1231532C"/>
    <w:rsid w:val="124619C1"/>
    <w:rsid w:val="124A70DD"/>
    <w:rsid w:val="12577104"/>
    <w:rsid w:val="12661B9C"/>
    <w:rsid w:val="126F02F1"/>
    <w:rsid w:val="127A1E00"/>
    <w:rsid w:val="12A025A3"/>
    <w:rsid w:val="12CB18A0"/>
    <w:rsid w:val="12E54456"/>
    <w:rsid w:val="12EF2E66"/>
    <w:rsid w:val="12F32AEA"/>
    <w:rsid w:val="13031039"/>
    <w:rsid w:val="136631C3"/>
    <w:rsid w:val="1386257C"/>
    <w:rsid w:val="13A04ADA"/>
    <w:rsid w:val="13C92283"/>
    <w:rsid w:val="13E56991"/>
    <w:rsid w:val="13E9022F"/>
    <w:rsid w:val="13EB1D7F"/>
    <w:rsid w:val="13EB21F9"/>
    <w:rsid w:val="140245A5"/>
    <w:rsid w:val="142816C8"/>
    <w:rsid w:val="142B717A"/>
    <w:rsid w:val="142D7813"/>
    <w:rsid w:val="1457163D"/>
    <w:rsid w:val="145F4995"/>
    <w:rsid w:val="14852E6A"/>
    <w:rsid w:val="14894C14"/>
    <w:rsid w:val="149C1746"/>
    <w:rsid w:val="14A14FAE"/>
    <w:rsid w:val="14AB7BDB"/>
    <w:rsid w:val="14B372C5"/>
    <w:rsid w:val="14E60336"/>
    <w:rsid w:val="14E76E65"/>
    <w:rsid w:val="14E86739"/>
    <w:rsid w:val="150C2B4E"/>
    <w:rsid w:val="152B2105"/>
    <w:rsid w:val="1537321C"/>
    <w:rsid w:val="15396F94"/>
    <w:rsid w:val="153E377C"/>
    <w:rsid w:val="155913E5"/>
    <w:rsid w:val="156009C5"/>
    <w:rsid w:val="156264EB"/>
    <w:rsid w:val="15923843"/>
    <w:rsid w:val="159D5777"/>
    <w:rsid w:val="15D00760"/>
    <w:rsid w:val="15D434E4"/>
    <w:rsid w:val="15FF261B"/>
    <w:rsid w:val="16081981"/>
    <w:rsid w:val="16380135"/>
    <w:rsid w:val="163910F2"/>
    <w:rsid w:val="163A2FC4"/>
    <w:rsid w:val="163F682C"/>
    <w:rsid w:val="16573B76"/>
    <w:rsid w:val="166167A3"/>
    <w:rsid w:val="16731C0F"/>
    <w:rsid w:val="169E62B8"/>
    <w:rsid w:val="169F1079"/>
    <w:rsid w:val="16A5740C"/>
    <w:rsid w:val="16AE2ECC"/>
    <w:rsid w:val="16B5089D"/>
    <w:rsid w:val="16BA29D5"/>
    <w:rsid w:val="16BA5F72"/>
    <w:rsid w:val="16D161DC"/>
    <w:rsid w:val="16DA7BD2"/>
    <w:rsid w:val="16E86EC4"/>
    <w:rsid w:val="16EB2510"/>
    <w:rsid w:val="16F67CE9"/>
    <w:rsid w:val="1700420E"/>
    <w:rsid w:val="17021357"/>
    <w:rsid w:val="17252CA2"/>
    <w:rsid w:val="172B0B5F"/>
    <w:rsid w:val="17304A11"/>
    <w:rsid w:val="173A7524"/>
    <w:rsid w:val="17884203"/>
    <w:rsid w:val="178A12FB"/>
    <w:rsid w:val="178A3129"/>
    <w:rsid w:val="17913EDE"/>
    <w:rsid w:val="17982698"/>
    <w:rsid w:val="179C3722"/>
    <w:rsid w:val="17D03946"/>
    <w:rsid w:val="17D9680D"/>
    <w:rsid w:val="17E9720E"/>
    <w:rsid w:val="18032795"/>
    <w:rsid w:val="1840063A"/>
    <w:rsid w:val="18491BE4"/>
    <w:rsid w:val="18633AD6"/>
    <w:rsid w:val="189A41EE"/>
    <w:rsid w:val="18A961DF"/>
    <w:rsid w:val="18BA2642"/>
    <w:rsid w:val="18BA4890"/>
    <w:rsid w:val="18CF1CD4"/>
    <w:rsid w:val="18DA283C"/>
    <w:rsid w:val="18E11E1D"/>
    <w:rsid w:val="18F91B53"/>
    <w:rsid w:val="19066BB7"/>
    <w:rsid w:val="191E6BCD"/>
    <w:rsid w:val="193F08F1"/>
    <w:rsid w:val="19646D86"/>
    <w:rsid w:val="196547FC"/>
    <w:rsid w:val="19781CCC"/>
    <w:rsid w:val="198416B0"/>
    <w:rsid w:val="19960E59"/>
    <w:rsid w:val="199D6EBF"/>
    <w:rsid w:val="19A82A4A"/>
    <w:rsid w:val="19AA220F"/>
    <w:rsid w:val="19CE0BFB"/>
    <w:rsid w:val="19E714A4"/>
    <w:rsid w:val="19EA2F53"/>
    <w:rsid w:val="19F52564"/>
    <w:rsid w:val="1A07140F"/>
    <w:rsid w:val="1A3637BB"/>
    <w:rsid w:val="1A3A40CE"/>
    <w:rsid w:val="1A3A6D2A"/>
    <w:rsid w:val="1A3D12D5"/>
    <w:rsid w:val="1A416449"/>
    <w:rsid w:val="1A421F81"/>
    <w:rsid w:val="1A425633"/>
    <w:rsid w:val="1A660F6A"/>
    <w:rsid w:val="1A676352"/>
    <w:rsid w:val="1A8C6C9A"/>
    <w:rsid w:val="1AA555D7"/>
    <w:rsid w:val="1AE9461B"/>
    <w:rsid w:val="1AF677AA"/>
    <w:rsid w:val="1AFD0C1D"/>
    <w:rsid w:val="1B010F0F"/>
    <w:rsid w:val="1B107F27"/>
    <w:rsid w:val="1B3430F7"/>
    <w:rsid w:val="1B485264"/>
    <w:rsid w:val="1B4E306E"/>
    <w:rsid w:val="1B6D1B01"/>
    <w:rsid w:val="1B7E7DF7"/>
    <w:rsid w:val="1B943177"/>
    <w:rsid w:val="1B976543"/>
    <w:rsid w:val="1BAA0860"/>
    <w:rsid w:val="1BC11A92"/>
    <w:rsid w:val="1BE07C46"/>
    <w:rsid w:val="1BFE03CE"/>
    <w:rsid w:val="1C2B3C14"/>
    <w:rsid w:val="1C2D73AE"/>
    <w:rsid w:val="1C3B5886"/>
    <w:rsid w:val="1C484471"/>
    <w:rsid w:val="1C626DD1"/>
    <w:rsid w:val="1C632ED1"/>
    <w:rsid w:val="1C6F14EE"/>
    <w:rsid w:val="1C816AA4"/>
    <w:rsid w:val="1C857A40"/>
    <w:rsid w:val="1C9176B6"/>
    <w:rsid w:val="1C994E1D"/>
    <w:rsid w:val="1C9C22AB"/>
    <w:rsid w:val="1CA27B15"/>
    <w:rsid w:val="1CBE341B"/>
    <w:rsid w:val="1CC510A1"/>
    <w:rsid w:val="1D115DFE"/>
    <w:rsid w:val="1D175E0D"/>
    <w:rsid w:val="1D1B344A"/>
    <w:rsid w:val="1D1D31FD"/>
    <w:rsid w:val="1D525097"/>
    <w:rsid w:val="1D5B57FB"/>
    <w:rsid w:val="1D5D1CD8"/>
    <w:rsid w:val="1D660B43"/>
    <w:rsid w:val="1D6628F1"/>
    <w:rsid w:val="1D74500E"/>
    <w:rsid w:val="1D9B5A75"/>
    <w:rsid w:val="1DAA7B30"/>
    <w:rsid w:val="1DDE692B"/>
    <w:rsid w:val="1DE25B8E"/>
    <w:rsid w:val="1DF12B02"/>
    <w:rsid w:val="1E2337FC"/>
    <w:rsid w:val="1E470974"/>
    <w:rsid w:val="1E5E181A"/>
    <w:rsid w:val="1E68518D"/>
    <w:rsid w:val="1E6F48C2"/>
    <w:rsid w:val="1E746936"/>
    <w:rsid w:val="1E841676"/>
    <w:rsid w:val="1E8A5647"/>
    <w:rsid w:val="1E8E20FF"/>
    <w:rsid w:val="1EAE454F"/>
    <w:rsid w:val="1EC57AEB"/>
    <w:rsid w:val="1ECE4FD1"/>
    <w:rsid w:val="1ECE7234"/>
    <w:rsid w:val="1EDB63FA"/>
    <w:rsid w:val="1EFC60A0"/>
    <w:rsid w:val="1F182311"/>
    <w:rsid w:val="1F6D3A27"/>
    <w:rsid w:val="1F75506D"/>
    <w:rsid w:val="1F9F033C"/>
    <w:rsid w:val="1FA859FD"/>
    <w:rsid w:val="1FC16504"/>
    <w:rsid w:val="1FC3402A"/>
    <w:rsid w:val="1FCA1DA7"/>
    <w:rsid w:val="1FCA360B"/>
    <w:rsid w:val="1FE10049"/>
    <w:rsid w:val="20131886"/>
    <w:rsid w:val="2040567B"/>
    <w:rsid w:val="204B40BD"/>
    <w:rsid w:val="20607ACB"/>
    <w:rsid w:val="206155F1"/>
    <w:rsid w:val="20735A50"/>
    <w:rsid w:val="208B2F0D"/>
    <w:rsid w:val="208C08C0"/>
    <w:rsid w:val="210A0E5B"/>
    <w:rsid w:val="21145D8F"/>
    <w:rsid w:val="2136405D"/>
    <w:rsid w:val="2163106E"/>
    <w:rsid w:val="21676C37"/>
    <w:rsid w:val="218965AC"/>
    <w:rsid w:val="21A0181F"/>
    <w:rsid w:val="21CF3036"/>
    <w:rsid w:val="21E708E7"/>
    <w:rsid w:val="21F81FF0"/>
    <w:rsid w:val="22170948"/>
    <w:rsid w:val="222A65E3"/>
    <w:rsid w:val="22314E39"/>
    <w:rsid w:val="22687B5E"/>
    <w:rsid w:val="226A697C"/>
    <w:rsid w:val="22AF7CE1"/>
    <w:rsid w:val="22B42350"/>
    <w:rsid w:val="22CE51C0"/>
    <w:rsid w:val="22DF0308"/>
    <w:rsid w:val="22E06DFF"/>
    <w:rsid w:val="231632C0"/>
    <w:rsid w:val="231D6147"/>
    <w:rsid w:val="231E1718"/>
    <w:rsid w:val="233F38A6"/>
    <w:rsid w:val="234B6811"/>
    <w:rsid w:val="2358708E"/>
    <w:rsid w:val="23597F78"/>
    <w:rsid w:val="23690370"/>
    <w:rsid w:val="23713D9D"/>
    <w:rsid w:val="23846516"/>
    <w:rsid w:val="23B5012E"/>
    <w:rsid w:val="23C334C2"/>
    <w:rsid w:val="23D20365"/>
    <w:rsid w:val="23E822B1"/>
    <w:rsid w:val="23EB6D8E"/>
    <w:rsid w:val="23F21382"/>
    <w:rsid w:val="24044C11"/>
    <w:rsid w:val="241C63FF"/>
    <w:rsid w:val="24271A83"/>
    <w:rsid w:val="24396EEF"/>
    <w:rsid w:val="245142FB"/>
    <w:rsid w:val="24517416"/>
    <w:rsid w:val="245711E5"/>
    <w:rsid w:val="245F611A"/>
    <w:rsid w:val="246413D6"/>
    <w:rsid w:val="24681F86"/>
    <w:rsid w:val="247E617E"/>
    <w:rsid w:val="248F3D6A"/>
    <w:rsid w:val="24976729"/>
    <w:rsid w:val="24C71FE5"/>
    <w:rsid w:val="24E17DBE"/>
    <w:rsid w:val="24E34FD5"/>
    <w:rsid w:val="24EA2464"/>
    <w:rsid w:val="250D59BB"/>
    <w:rsid w:val="25331C52"/>
    <w:rsid w:val="255313A6"/>
    <w:rsid w:val="255C45DD"/>
    <w:rsid w:val="25695674"/>
    <w:rsid w:val="25770D95"/>
    <w:rsid w:val="257D00DA"/>
    <w:rsid w:val="2580476C"/>
    <w:rsid w:val="258277C2"/>
    <w:rsid w:val="25894E86"/>
    <w:rsid w:val="25B271E9"/>
    <w:rsid w:val="25B82157"/>
    <w:rsid w:val="25E60E47"/>
    <w:rsid w:val="25EA424B"/>
    <w:rsid w:val="25EA4C74"/>
    <w:rsid w:val="25F50CB6"/>
    <w:rsid w:val="260D24A3"/>
    <w:rsid w:val="263E0B11"/>
    <w:rsid w:val="265F25D3"/>
    <w:rsid w:val="26B20EC6"/>
    <w:rsid w:val="26BC17D3"/>
    <w:rsid w:val="27075337"/>
    <w:rsid w:val="27122C1B"/>
    <w:rsid w:val="271D04C4"/>
    <w:rsid w:val="2724211A"/>
    <w:rsid w:val="27302737"/>
    <w:rsid w:val="27612A66"/>
    <w:rsid w:val="27624129"/>
    <w:rsid w:val="27663DE1"/>
    <w:rsid w:val="276E6F72"/>
    <w:rsid w:val="277D71B5"/>
    <w:rsid w:val="27851DB4"/>
    <w:rsid w:val="27D765EE"/>
    <w:rsid w:val="27F40B59"/>
    <w:rsid w:val="2800346A"/>
    <w:rsid w:val="28046B9A"/>
    <w:rsid w:val="281F281F"/>
    <w:rsid w:val="28224B83"/>
    <w:rsid w:val="283C7070"/>
    <w:rsid w:val="2843570A"/>
    <w:rsid w:val="28607A60"/>
    <w:rsid w:val="28667C49"/>
    <w:rsid w:val="286872E1"/>
    <w:rsid w:val="28880F97"/>
    <w:rsid w:val="28991DCC"/>
    <w:rsid w:val="28BA252D"/>
    <w:rsid w:val="28D15A0A"/>
    <w:rsid w:val="28E374EB"/>
    <w:rsid w:val="28FE4325"/>
    <w:rsid w:val="290838BC"/>
    <w:rsid w:val="29283150"/>
    <w:rsid w:val="294C757A"/>
    <w:rsid w:val="296028EA"/>
    <w:rsid w:val="298A5BB9"/>
    <w:rsid w:val="29AD63FD"/>
    <w:rsid w:val="29B53305"/>
    <w:rsid w:val="29BB753F"/>
    <w:rsid w:val="2A0539F9"/>
    <w:rsid w:val="2A0911D4"/>
    <w:rsid w:val="2A1738F0"/>
    <w:rsid w:val="2A1A6F3D"/>
    <w:rsid w:val="2A2B114A"/>
    <w:rsid w:val="2A3529F7"/>
    <w:rsid w:val="2A626B71"/>
    <w:rsid w:val="2A69012A"/>
    <w:rsid w:val="2AC51F3F"/>
    <w:rsid w:val="2AC82E3D"/>
    <w:rsid w:val="2ADA1568"/>
    <w:rsid w:val="2ADC73AA"/>
    <w:rsid w:val="2ADD3DEE"/>
    <w:rsid w:val="2AE15CAC"/>
    <w:rsid w:val="2AFB6D6E"/>
    <w:rsid w:val="2B057D63"/>
    <w:rsid w:val="2B0E138B"/>
    <w:rsid w:val="2B195446"/>
    <w:rsid w:val="2B1D34FD"/>
    <w:rsid w:val="2B39152A"/>
    <w:rsid w:val="2B481888"/>
    <w:rsid w:val="2B6C0686"/>
    <w:rsid w:val="2B795DEE"/>
    <w:rsid w:val="2B7B5E0E"/>
    <w:rsid w:val="2B8A25D7"/>
    <w:rsid w:val="2BA47406"/>
    <w:rsid w:val="2BB5313E"/>
    <w:rsid w:val="2BCA04EF"/>
    <w:rsid w:val="2BE21CDC"/>
    <w:rsid w:val="2BE5344F"/>
    <w:rsid w:val="2BF817B2"/>
    <w:rsid w:val="2C0C6D59"/>
    <w:rsid w:val="2C271DE5"/>
    <w:rsid w:val="2C471EA2"/>
    <w:rsid w:val="2C7A0167"/>
    <w:rsid w:val="2C840FE5"/>
    <w:rsid w:val="2C932FD6"/>
    <w:rsid w:val="2CBC252D"/>
    <w:rsid w:val="2CBC739B"/>
    <w:rsid w:val="2CD535EF"/>
    <w:rsid w:val="2CDA6E57"/>
    <w:rsid w:val="2CE132A0"/>
    <w:rsid w:val="2CED6B8B"/>
    <w:rsid w:val="2CF03F85"/>
    <w:rsid w:val="2CF2792E"/>
    <w:rsid w:val="2CF955D6"/>
    <w:rsid w:val="2D00218E"/>
    <w:rsid w:val="2D0E7D49"/>
    <w:rsid w:val="2D346567"/>
    <w:rsid w:val="2D4471BB"/>
    <w:rsid w:val="2D4A3D56"/>
    <w:rsid w:val="2D4F065D"/>
    <w:rsid w:val="2D684465"/>
    <w:rsid w:val="2D7409BD"/>
    <w:rsid w:val="2D76092E"/>
    <w:rsid w:val="2D7E5A35"/>
    <w:rsid w:val="2D8B5740"/>
    <w:rsid w:val="2D8E211C"/>
    <w:rsid w:val="2D962D7E"/>
    <w:rsid w:val="2DDA3165"/>
    <w:rsid w:val="2DF67CC1"/>
    <w:rsid w:val="2E2062B1"/>
    <w:rsid w:val="2E2B67F4"/>
    <w:rsid w:val="2E30703B"/>
    <w:rsid w:val="2E4E5407"/>
    <w:rsid w:val="2E5B74F6"/>
    <w:rsid w:val="2E660784"/>
    <w:rsid w:val="2E9D72A1"/>
    <w:rsid w:val="2EB20AE4"/>
    <w:rsid w:val="2EC60A4A"/>
    <w:rsid w:val="2EC83DAD"/>
    <w:rsid w:val="2F487E5C"/>
    <w:rsid w:val="2F601896"/>
    <w:rsid w:val="2F63720A"/>
    <w:rsid w:val="2F740E9D"/>
    <w:rsid w:val="2F780088"/>
    <w:rsid w:val="2F854125"/>
    <w:rsid w:val="2F874559"/>
    <w:rsid w:val="2FA31782"/>
    <w:rsid w:val="2FB27C17"/>
    <w:rsid w:val="2FBE373E"/>
    <w:rsid w:val="2FC031AF"/>
    <w:rsid w:val="2FCE2CA3"/>
    <w:rsid w:val="2FD53E0F"/>
    <w:rsid w:val="2FDB53C0"/>
    <w:rsid w:val="2FDD4C94"/>
    <w:rsid w:val="2FE96F27"/>
    <w:rsid w:val="3020423D"/>
    <w:rsid w:val="30495F76"/>
    <w:rsid w:val="305C2BB0"/>
    <w:rsid w:val="3065119A"/>
    <w:rsid w:val="307C04C0"/>
    <w:rsid w:val="30A06426"/>
    <w:rsid w:val="30B8300C"/>
    <w:rsid w:val="30C057BA"/>
    <w:rsid w:val="30D616E4"/>
    <w:rsid w:val="30DE72D9"/>
    <w:rsid w:val="30E33E31"/>
    <w:rsid w:val="30F71D86"/>
    <w:rsid w:val="31235140"/>
    <w:rsid w:val="313B1717"/>
    <w:rsid w:val="315E2BC5"/>
    <w:rsid w:val="316D73C0"/>
    <w:rsid w:val="31702EF2"/>
    <w:rsid w:val="317071E6"/>
    <w:rsid w:val="317E4255"/>
    <w:rsid w:val="317F3B29"/>
    <w:rsid w:val="31801D4F"/>
    <w:rsid w:val="31972AA8"/>
    <w:rsid w:val="31A65C70"/>
    <w:rsid w:val="31AE3C91"/>
    <w:rsid w:val="31DB16A7"/>
    <w:rsid w:val="32452FA9"/>
    <w:rsid w:val="3254446B"/>
    <w:rsid w:val="3259088E"/>
    <w:rsid w:val="327B2543"/>
    <w:rsid w:val="329652B3"/>
    <w:rsid w:val="329A025A"/>
    <w:rsid w:val="329A395E"/>
    <w:rsid w:val="32A45F3D"/>
    <w:rsid w:val="32B113B0"/>
    <w:rsid w:val="32B31CDC"/>
    <w:rsid w:val="32C969F8"/>
    <w:rsid w:val="32E74748"/>
    <w:rsid w:val="33020CC1"/>
    <w:rsid w:val="33233306"/>
    <w:rsid w:val="335975A0"/>
    <w:rsid w:val="33666E2C"/>
    <w:rsid w:val="33711FA1"/>
    <w:rsid w:val="33784CD4"/>
    <w:rsid w:val="337C47C4"/>
    <w:rsid w:val="339A10EE"/>
    <w:rsid w:val="339E7B3C"/>
    <w:rsid w:val="33AB06FF"/>
    <w:rsid w:val="33AD5F50"/>
    <w:rsid w:val="33B66B8B"/>
    <w:rsid w:val="34037ADA"/>
    <w:rsid w:val="342A34C2"/>
    <w:rsid w:val="34586FDF"/>
    <w:rsid w:val="347B4711"/>
    <w:rsid w:val="3482405C"/>
    <w:rsid w:val="348267AB"/>
    <w:rsid w:val="34DF14AF"/>
    <w:rsid w:val="34FD1935"/>
    <w:rsid w:val="351C69FF"/>
    <w:rsid w:val="3553087F"/>
    <w:rsid w:val="35717C54"/>
    <w:rsid w:val="35777939"/>
    <w:rsid w:val="357E2AE3"/>
    <w:rsid w:val="359A47E3"/>
    <w:rsid w:val="35AF1C4F"/>
    <w:rsid w:val="35B30926"/>
    <w:rsid w:val="35DA6F8D"/>
    <w:rsid w:val="35DC779C"/>
    <w:rsid w:val="35DF434D"/>
    <w:rsid w:val="35F5085E"/>
    <w:rsid w:val="35FE3BB6"/>
    <w:rsid w:val="361909F0"/>
    <w:rsid w:val="361978A4"/>
    <w:rsid w:val="3627310D"/>
    <w:rsid w:val="36462E68"/>
    <w:rsid w:val="364C2F9C"/>
    <w:rsid w:val="365307CA"/>
    <w:rsid w:val="3659703F"/>
    <w:rsid w:val="368A1F78"/>
    <w:rsid w:val="36963DEF"/>
    <w:rsid w:val="36A91D74"/>
    <w:rsid w:val="36BB098A"/>
    <w:rsid w:val="36E74BCF"/>
    <w:rsid w:val="36F56D67"/>
    <w:rsid w:val="3709636F"/>
    <w:rsid w:val="37167153"/>
    <w:rsid w:val="372F7B9E"/>
    <w:rsid w:val="37487677"/>
    <w:rsid w:val="376E1D1A"/>
    <w:rsid w:val="376E20F1"/>
    <w:rsid w:val="378400B8"/>
    <w:rsid w:val="379F4582"/>
    <w:rsid w:val="37A95131"/>
    <w:rsid w:val="37DC6912"/>
    <w:rsid w:val="37F21986"/>
    <w:rsid w:val="37FE7E9E"/>
    <w:rsid w:val="38003C16"/>
    <w:rsid w:val="381A0BE8"/>
    <w:rsid w:val="384B4725"/>
    <w:rsid w:val="38566C42"/>
    <w:rsid w:val="3857135C"/>
    <w:rsid w:val="386374A9"/>
    <w:rsid w:val="3875343D"/>
    <w:rsid w:val="3882287D"/>
    <w:rsid w:val="38B8203E"/>
    <w:rsid w:val="38C31435"/>
    <w:rsid w:val="38C842C0"/>
    <w:rsid w:val="38C85C77"/>
    <w:rsid w:val="38CA1127"/>
    <w:rsid w:val="38E273AD"/>
    <w:rsid w:val="38E80323"/>
    <w:rsid w:val="3901698C"/>
    <w:rsid w:val="390A097A"/>
    <w:rsid w:val="391D1F43"/>
    <w:rsid w:val="39241B86"/>
    <w:rsid w:val="393D67A4"/>
    <w:rsid w:val="394C2E8B"/>
    <w:rsid w:val="395104A1"/>
    <w:rsid w:val="3967764F"/>
    <w:rsid w:val="39810D86"/>
    <w:rsid w:val="3986639D"/>
    <w:rsid w:val="398D4BEA"/>
    <w:rsid w:val="39AE31FE"/>
    <w:rsid w:val="39BF3A57"/>
    <w:rsid w:val="39F23A32"/>
    <w:rsid w:val="3A007735"/>
    <w:rsid w:val="3A053765"/>
    <w:rsid w:val="3A0C601B"/>
    <w:rsid w:val="3A1428E9"/>
    <w:rsid w:val="3A1675B4"/>
    <w:rsid w:val="3A3312D0"/>
    <w:rsid w:val="3A4F678F"/>
    <w:rsid w:val="3A5730C6"/>
    <w:rsid w:val="3A744447"/>
    <w:rsid w:val="3A8B1791"/>
    <w:rsid w:val="3A8C79E3"/>
    <w:rsid w:val="3AA50161"/>
    <w:rsid w:val="3AA967C0"/>
    <w:rsid w:val="3AAD6186"/>
    <w:rsid w:val="3AB92C9A"/>
    <w:rsid w:val="3AC86B62"/>
    <w:rsid w:val="3ACE7FFB"/>
    <w:rsid w:val="3ADE5C5A"/>
    <w:rsid w:val="3AE113B1"/>
    <w:rsid w:val="3AE1523B"/>
    <w:rsid w:val="3AF630AE"/>
    <w:rsid w:val="3AFA53D4"/>
    <w:rsid w:val="3B055D6E"/>
    <w:rsid w:val="3B0C4680"/>
    <w:rsid w:val="3B0F4091"/>
    <w:rsid w:val="3B201438"/>
    <w:rsid w:val="3B247C1B"/>
    <w:rsid w:val="3B582D78"/>
    <w:rsid w:val="3B7B5437"/>
    <w:rsid w:val="3B8732EB"/>
    <w:rsid w:val="3BA070C9"/>
    <w:rsid w:val="3BB645EB"/>
    <w:rsid w:val="3BC17ED2"/>
    <w:rsid w:val="3BC66F24"/>
    <w:rsid w:val="3BD11425"/>
    <w:rsid w:val="3BD66A3C"/>
    <w:rsid w:val="3BFD7F8A"/>
    <w:rsid w:val="3C1C4D96"/>
    <w:rsid w:val="3C652026"/>
    <w:rsid w:val="3C77021F"/>
    <w:rsid w:val="3C8816F0"/>
    <w:rsid w:val="3C8C0310"/>
    <w:rsid w:val="3CDE2DEC"/>
    <w:rsid w:val="3CDE59B5"/>
    <w:rsid w:val="3CE31410"/>
    <w:rsid w:val="3CE533DA"/>
    <w:rsid w:val="3D141F11"/>
    <w:rsid w:val="3D1B7D86"/>
    <w:rsid w:val="3D2A6DEF"/>
    <w:rsid w:val="3D40624D"/>
    <w:rsid w:val="3D440087"/>
    <w:rsid w:val="3D4E1562"/>
    <w:rsid w:val="3D4F4CF8"/>
    <w:rsid w:val="3D5051DA"/>
    <w:rsid w:val="3D94095C"/>
    <w:rsid w:val="3DA652FE"/>
    <w:rsid w:val="3DCE0312"/>
    <w:rsid w:val="3DD60F75"/>
    <w:rsid w:val="3DF12C27"/>
    <w:rsid w:val="3DFB09DB"/>
    <w:rsid w:val="3E2607ED"/>
    <w:rsid w:val="3E447D10"/>
    <w:rsid w:val="3E4B54BF"/>
    <w:rsid w:val="3E6622F9"/>
    <w:rsid w:val="3E9A01F4"/>
    <w:rsid w:val="3E9E2257"/>
    <w:rsid w:val="3E9F2ABC"/>
    <w:rsid w:val="3EA0190A"/>
    <w:rsid w:val="3EA51068"/>
    <w:rsid w:val="3EB94B1E"/>
    <w:rsid w:val="3ED8395B"/>
    <w:rsid w:val="3EEA11DF"/>
    <w:rsid w:val="3EF21DDE"/>
    <w:rsid w:val="3F0833B0"/>
    <w:rsid w:val="3F107E00"/>
    <w:rsid w:val="3F134F7F"/>
    <w:rsid w:val="3F590010"/>
    <w:rsid w:val="3F5D0C74"/>
    <w:rsid w:val="3F7F7B16"/>
    <w:rsid w:val="3FAE1904"/>
    <w:rsid w:val="3FB403B2"/>
    <w:rsid w:val="3FC90D91"/>
    <w:rsid w:val="403830AC"/>
    <w:rsid w:val="405014B2"/>
    <w:rsid w:val="40534AFF"/>
    <w:rsid w:val="4062658D"/>
    <w:rsid w:val="407050F1"/>
    <w:rsid w:val="407F3E20"/>
    <w:rsid w:val="40923879"/>
    <w:rsid w:val="40A6497D"/>
    <w:rsid w:val="40A84E4B"/>
    <w:rsid w:val="40BC4452"/>
    <w:rsid w:val="40F40090"/>
    <w:rsid w:val="412907A1"/>
    <w:rsid w:val="414D7135"/>
    <w:rsid w:val="41834F07"/>
    <w:rsid w:val="418666BD"/>
    <w:rsid w:val="4187200D"/>
    <w:rsid w:val="41962EF5"/>
    <w:rsid w:val="419A4D13"/>
    <w:rsid w:val="41B33AA7"/>
    <w:rsid w:val="41BF7088"/>
    <w:rsid w:val="423544BC"/>
    <w:rsid w:val="423B1442"/>
    <w:rsid w:val="42425BDF"/>
    <w:rsid w:val="42576B28"/>
    <w:rsid w:val="42586B91"/>
    <w:rsid w:val="42892057"/>
    <w:rsid w:val="429F1E72"/>
    <w:rsid w:val="429F4065"/>
    <w:rsid w:val="42AB6E74"/>
    <w:rsid w:val="42B03C23"/>
    <w:rsid w:val="42D640CA"/>
    <w:rsid w:val="42DC1075"/>
    <w:rsid w:val="42DE7A7B"/>
    <w:rsid w:val="42F26C2C"/>
    <w:rsid w:val="43574906"/>
    <w:rsid w:val="438A290A"/>
    <w:rsid w:val="43C67F35"/>
    <w:rsid w:val="43E43739"/>
    <w:rsid w:val="43FAEFD0"/>
    <w:rsid w:val="443B0600"/>
    <w:rsid w:val="4441183E"/>
    <w:rsid w:val="444A4FF2"/>
    <w:rsid w:val="445B2EBA"/>
    <w:rsid w:val="4460035F"/>
    <w:rsid w:val="446C618F"/>
    <w:rsid w:val="446E57D9"/>
    <w:rsid w:val="448266BF"/>
    <w:rsid w:val="44A86B9B"/>
    <w:rsid w:val="44C45824"/>
    <w:rsid w:val="44CC3BE5"/>
    <w:rsid w:val="44DA57EF"/>
    <w:rsid w:val="44DA759D"/>
    <w:rsid w:val="44DD0E3B"/>
    <w:rsid w:val="44DE7232"/>
    <w:rsid w:val="44DF4BB3"/>
    <w:rsid w:val="44EC572F"/>
    <w:rsid w:val="45074C85"/>
    <w:rsid w:val="45102FBE"/>
    <w:rsid w:val="45664A2B"/>
    <w:rsid w:val="45A5604B"/>
    <w:rsid w:val="45D4223E"/>
    <w:rsid w:val="45F12DF0"/>
    <w:rsid w:val="4602339C"/>
    <w:rsid w:val="46173C9D"/>
    <w:rsid w:val="4632038F"/>
    <w:rsid w:val="46386C71"/>
    <w:rsid w:val="46641814"/>
    <w:rsid w:val="46880436"/>
    <w:rsid w:val="468A301B"/>
    <w:rsid w:val="46935C55"/>
    <w:rsid w:val="46A11BA1"/>
    <w:rsid w:val="46B138F5"/>
    <w:rsid w:val="46D1677D"/>
    <w:rsid w:val="46F44373"/>
    <w:rsid w:val="47025B21"/>
    <w:rsid w:val="470C4453"/>
    <w:rsid w:val="471036C6"/>
    <w:rsid w:val="47305B9A"/>
    <w:rsid w:val="47411B55"/>
    <w:rsid w:val="4746114F"/>
    <w:rsid w:val="47846991"/>
    <w:rsid w:val="47887784"/>
    <w:rsid w:val="47AA6ADF"/>
    <w:rsid w:val="47D12ED9"/>
    <w:rsid w:val="47E606A5"/>
    <w:rsid w:val="47EC047B"/>
    <w:rsid w:val="47EC1AC1"/>
    <w:rsid w:val="47F06548"/>
    <w:rsid w:val="47F172BA"/>
    <w:rsid w:val="47F53C79"/>
    <w:rsid w:val="482974A7"/>
    <w:rsid w:val="48474F49"/>
    <w:rsid w:val="48627FD5"/>
    <w:rsid w:val="4864321A"/>
    <w:rsid w:val="48677399"/>
    <w:rsid w:val="48D52AE9"/>
    <w:rsid w:val="48FD1AAC"/>
    <w:rsid w:val="48FF2105"/>
    <w:rsid w:val="4910358D"/>
    <w:rsid w:val="491155A3"/>
    <w:rsid w:val="495C35A9"/>
    <w:rsid w:val="496068F3"/>
    <w:rsid w:val="49614F7A"/>
    <w:rsid w:val="49627B61"/>
    <w:rsid w:val="499E3603"/>
    <w:rsid w:val="49CD04E5"/>
    <w:rsid w:val="49CF169A"/>
    <w:rsid w:val="49FB119D"/>
    <w:rsid w:val="4A070E34"/>
    <w:rsid w:val="4A190B67"/>
    <w:rsid w:val="4A1A5506"/>
    <w:rsid w:val="4A361719"/>
    <w:rsid w:val="4A5D4A86"/>
    <w:rsid w:val="4A657908"/>
    <w:rsid w:val="4A6B76D7"/>
    <w:rsid w:val="4A7933B4"/>
    <w:rsid w:val="4A8823AE"/>
    <w:rsid w:val="4AAF7FE0"/>
    <w:rsid w:val="4AC85640"/>
    <w:rsid w:val="4AD80FD1"/>
    <w:rsid w:val="4AE271AB"/>
    <w:rsid w:val="4AE66459"/>
    <w:rsid w:val="4B304EE1"/>
    <w:rsid w:val="4B3F63AB"/>
    <w:rsid w:val="4B4E65EF"/>
    <w:rsid w:val="4B565BBA"/>
    <w:rsid w:val="4B7F49FA"/>
    <w:rsid w:val="4B954E25"/>
    <w:rsid w:val="4BA651E2"/>
    <w:rsid w:val="4BB5041C"/>
    <w:rsid w:val="4BB77AB2"/>
    <w:rsid w:val="4BD13CFE"/>
    <w:rsid w:val="4BE45480"/>
    <w:rsid w:val="4BE8256A"/>
    <w:rsid w:val="4C0A0F91"/>
    <w:rsid w:val="4C2A2BB8"/>
    <w:rsid w:val="4C6111C2"/>
    <w:rsid w:val="4C872721"/>
    <w:rsid w:val="4C9D782D"/>
    <w:rsid w:val="4CE76D9C"/>
    <w:rsid w:val="4D021D86"/>
    <w:rsid w:val="4D09629A"/>
    <w:rsid w:val="4D1F46E6"/>
    <w:rsid w:val="4D3844D8"/>
    <w:rsid w:val="4D5C1497"/>
    <w:rsid w:val="4D6F380D"/>
    <w:rsid w:val="4D780890"/>
    <w:rsid w:val="4D8825B5"/>
    <w:rsid w:val="4D8E6CAE"/>
    <w:rsid w:val="4D967D9A"/>
    <w:rsid w:val="4D9D385D"/>
    <w:rsid w:val="4DA92202"/>
    <w:rsid w:val="4DCA69F7"/>
    <w:rsid w:val="4DD13DE5"/>
    <w:rsid w:val="4DF8457F"/>
    <w:rsid w:val="4E0538DC"/>
    <w:rsid w:val="4E264AF3"/>
    <w:rsid w:val="4E3D5ED8"/>
    <w:rsid w:val="4E3E6DEE"/>
    <w:rsid w:val="4E4F1CA6"/>
    <w:rsid w:val="4E612A80"/>
    <w:rsid w:val="4E742810"/>
    <w:rsid w:val="4E8E2355"/>
    <w:rsid w:val="4EAA342D"/>
    <w:rsid w:val="4EB8094F"/>
    <w:rsid w:val="4EBB6BE8"/>
    <w:rsid w:val="4EC63DDE"/>
    <w:rsid w:val="4ECA2430"/>
    <w:rsid w:val="4ED3189B"/>
    <w:rsid w:val="4EDA5644"/>
    <w:rsid w:val="4EF57642"/>
    <w:rsid w:val="4F032326"/>
    <w:rsid w:val="4F0C0C9A"/>
    <w:rsid w:val="4F0C47F7"/>
    <w:rsid w:val="4F1C5C3C"/>
    <w:rsid w:val="4F202DB6"/>
    <w:rsid w:val="4F35414D"/>
    <w:rsid w:val="4F367AC5"/>
    <w:rsid w:val="4F455F5A"/>
    <w:rsid w:val="4F4E7A72"/>
    <w:rsid w:val="4F524F63"/>
    <w:rsid w:val="4F813436"/>
    <w:rsid w:val="4FC5543D"/>
    <w:rsid w:val="4FC70010"/>
    <w:rsid w:val="4FFB1ABC"/>
    <w:rsid w:val="4FFD5B7C"/>
    <w:rsid w:val="500C0359"/>
    <w:rsid w:val="501567CB"/>
    <w:rsid w:val="50211B71"/>
    <w:rsid w:val="50505565"/>
    <w:rsid w:val="50525C99"/>
    <w:rsid w:val="506D7517"/>
    <w:rsid w:val="50777623"/>
    <w:rsid w:val="50A867A1"/>
    <w:rsid w:val="50AF18DD"/>
    <w:rsid w:val="50B05655"/>
    <w:rsid w:val="50C25AB5"/>
    <w:rsid w:val="50C91A43"/>
    <w:rsid w:val="50CF4266"/>
    <w:rsid w:val="50F87FAC"/>
    <w:rsid w:val="51330760"/>
    <w:rsid w:val="51453FF0"/>
    <w:rsid w:val="5145631B"/>
    <w:rsid w:val="51620050"/>
    <w:rsid w:val="51713037"/>
    <w:rsid w:val="517261E5"/>
    <w:rsid w:val="519A07DF"/>
    <w:rsid w:val="51BC69A8"/>
    <w:rsid w:val="529F1132"/>
    <w:rsid w:val="52A462E6"/>
    <w:rsid w:val="52BC45D8"/>
    <w:rsid w:val="52F263F9"/>
    <w:rsid w:val="5319725C"/>
    <w:rsid w:val="533E4E87"/>
    <w:rsid w:val="53445747"/>
    <w:rsid w:val="534D324C"/>
    <w:rsid w:val="5365648C"/>
    <w:rsid w:val="5376752B"/>
    <w:rsid w:val="53964FD7"/>
    <w:rsid w:val="53A10DA8"/>
    <w:rsid w:val="53A41AA1"/>
    <w:rsid w:val="53FA37B7"/>
    <w:rsid w:val="5402441A"/>
    <w:rsid w:val="54096145"/>
    <w:rsid w:val="540C46F6"/>
    <w:rsid w:val="5441308C"/>
    <w:rsid w:val="54436F0C"/>
    <w:rsid w:val="54443771"/>
    <w:rsid w:val="544C2923"/>
    <w:rsid w:val="54624338"/>
    <w:rsid w:val="54662BFB"/>
    <w:rsid w:val="546C7BF7"/>
    <w:rsid w:val="5486329D"/>
    <w:rsid w:val="548D7221"/>
    <w:rsid w:val="54950492"/>
    <w:rsid w:val="549D31C7"/>
    <w:rsid w:val="54A53F79"/>
    <w:rsid w:val="54B23956"/>
    <w:rsid w:val="54D45DB6"/>
    <w:rsid w:val="54DB5397"/>
    <w:rsid w:val="54EA382C"/>
    <w:rsid w:val="54EF2310"/>
    <w:rsid w:val="5504377C"/>
    <w:rsid w:val="55635B60"/>
    <w:rsid w:val="55665DBF"/>
    <w:rsid w:val="556E384F"/>
    <w:rsid w:val="55911B19"/>
    <w:rsid w:val="55CF39F8"/>
    <w:rsid w:val="55F304BE"/>
    <w:rsid w:val="56261E47"/>
    <w:rsid w:val="566273F2"/>
    <w:rsid w:val="568A7075"/>
    <w:rsid w:val="5693771B"/>
    <w:rsid w:val="569674D6"/>
    <w:rsid w:val="56B51C18"/>
    <w:rsid w:val="56F27583"/>
    <w:rsid w:val="56FC55C5"/>
    <w:rsid w:val="57295041"/>
    <w:rsid w:val="57567F84"/>
    <w:rsid w:val="575B631B"/>
    <w:rsid w:val="576F0018"/>
    <w:rsid w:val="57743881"/>
    <w:rsid w:val="57826565"/>
    <w:rsid w:val="578E0089"/>
    <w:rsid w:val="57A44166"/>
    <w:rsid w:val="57AF59AB"/>
    <w:rsid w:val="57EF409D"/>
    <w:rsid w:val="57F364F1"/>
    <w:rsid w:val="57FC2EEA"/>
    <w:rsid w:val="581643B2"/>
    <w:rsid w:val="583077A8"/>
    <w:rsid w:val="58482C7F"/>
    <w:rsid w:val="584B2834"/>
    <w:rsid w:val="58564D34"/>
    <w:rsid w:val="58666731"/>
    <w:rsid w:val="586E26D1"/>
    <w:rsid w:val="58711BA1"/>
    <w:rsid w:val="589462A5"/>
    <w:rsid w:val="589917F1"/>
    <w:rsid w:val="58CC2B26"/>
    <w:rsid w:val="58E639D3"/>
    <w:rsid w:val="590824D3"/>
    <w:rsid w:val="59106AC1"/>
    <w:rsid w:val="59220479"/>
    <w:rsid w:val="592D1F39"/>
    <w:rsid w:val="593B28A8"/>
    <w:rsid w:val="593B4656"/>
    <w:rsid w:val="59452184"/>
    <w:rsid w:val="5960230F"/>
    <w:rsid w:val="598C3104"/>
    <w:rsid w:val="59A72F18"/>
    <w:rsid w:val="59C52952"/>
    <w:rsid w:val="59CD7278"/>
    <w:rsid w:val="5A1174AA"/>
    <w:rsid w:val="5A1B73FE"/>
    <w:rsid w:val="5A2F42B8"/>
    <w:rsid w:val="5A566545"/>
    <w:rsid w:val="5A5B65D1"/>
    <w:rsid w:val="5A7466C9"/>
    <w:rsid w:val="5A8B6F17"/>
    <w:rsid w:val="5A8D6C47"/>
    <w:rsid w:val="5A902780"/>
    <w:rsid w:val="5A923AFE"/>
    <w:rsid w:val="5A9545B4"/>
    <w:rsid w:val="5AB02E22"/>
    <w:rsid w:val="5AB36A7C"/>
    <w:rsid w:val="5AC24903"/>
    <w:rsid w:val="5ACD39D4"/>
    <w:rsid w:val="5AE777FB"/>
    <w:rsid w:val="5B0E18F6"/>
    <w:rsid w:val="5B1A02B0"/>
    <w:rsid w:val="5B1F1D55"/>
    <w:rsid w:val="5B346059"/>
    <w:rsid w:val="5BA74225"/>
    <w:rsid w:val="5BAC7859"/>
    <w:rsid w:val="5BB866D0"/>
    <w:rsid w:val="5BBE331C"/>
    <w:rsid w:val="5BC22E0D"/>
    <w:rsid w:val="5BFD216E"/>
    <w:rsid w:val="5C047C2A"/>
    <w:rsid w:val="5C0732DB"/>
    <w:rsid w:val="5C0A0310"/>
    <w:rsid w:val="5C593AA7"/>
    <w:rsid w:val="5C617439"/>
    <w:rsid w:val="5C6C2D78"/>
    <w:rsid w:val="5C835DA4"/>
    <w:rsid w:val="5C953EDA"/>
    <w:rsid w:val="5CB70498"/>
    <w:rsid w:val="5CDC71B3"/>
    <w:rsid w:val="5CE67305"/>
    <w:rsid w:val="5CE84AF5"/>
    <w:rsid w:val="5CED0261"/>
    <w:rsid w:val="5CF243B1"/>
    <w:rsid w:val="5CF3349A"/>
    <w:rsid w:val="5D0211C9"/>
    <w:rsid w:val="5D11145B"/>
    <w:rsid w:val="5D2A5799"/>
    <w:rsid w:val="5D4448E6"/>
    <w:rsid w:val="5D4D71D3"/>
    <w:rsid w:val="5D4E67D6"/>
    <w:rsid w:val="5D68475F"/>
    <w:rsid w:val="5D6E241A"/>
    <w:rsid w:val="5DAE0039"/>
    <w:rsid w:val="5DB201D1"/>
    <w:rsid w:val="5DE30E18"/>
    <w:rsid w:val="5DED613B"/>
    <w:rsid w:val="5DF35FE0"/>
    <w:rsid w:val="5DF66D9E"/>
    <w:rsid w:val="5E023994"/>
    <w:rsid w:val="5E0314BA"/>
    <w:rsid w:val="5E0A0A9B"/>
    <w:rsid w:val="5E1831B8"/>
    <w:rsid w:val="5E1A28CC"/>
    <w:rsid w:val="5E214BE6"/>
    <w:rsid w:val="5E224037"/>
    <w:rsid w:val="5E3C3102"/>
    <w:rsid w:val="5E3D1D25"/>
    <w:rsid w:val="5E56783C"/>
    <w:rsid w:val="5E5B222C"/>
    <w:rsid w:val="5E9E2730"/>
    <w:rsid w:val="5EA75D44"/>
    <w:rsid w:val="5EC073AC"/>
    <w:rsid w:val="5EC21376"/>
    <w:rsid w:val="5EC529C2"/>
    <w:rsid w:val="5EF157B7"/>
    <w:rsid w:val="5EF5561C"/>
    <w:rsid w:val="5F072DA0"/>
    <w:rsid w:val="5F1F0DB8"/>
    <w:rsid w:val="5F3A0F0C"/>
    <w:rsid w:val="5F46756E"/>
    <w:rsid w:val="5F6D58CC"/>
    <w:rsid w:val="5F710DD4"/>
    <w:rsid w:val="5F724C78"/>
    <w:rsid w:val="5F8265AE"/>
    <w:rsid w:val="5FB76A00"/>
    <w:rsid w:val="5FD01870"/>
    <w:rsid w:val="5FD14D72"/>
    <w:rsid w:val="5FEA625B"/>
    <w:rsid w:val="60031639"/>
    <w:rsid w:val="600339F4"/>
    <w:rsid w:val="602037FC"/>
    <w:rsid w:val="60793CB6"/>
    <w:rsid w:val="608D07BC"/>
    <w:rsid w:val="608E15EB"/>
    <w:rsid w:val="608F27EF"/>
    <w:rsid w:val="60942E6D"/>
    <w:rsid w:val="60C159DF"/>
    <w:rsid w:val="60D20857"/>
    <w:rsid w:val="61045C75"/>
    <w:rsid w:val="610C68D8"/>
    <w:rsid w:val="612105D5"/>
    <w:rsid w:val="612812EF"/>
    <w:rsid w:val="615B0E51"/>
    <w:rsid w:val="615B25B3"/>
    <w:rsid w:val="617325FB"/>
    <w:rsid w:val="617E77D6"/>
    <w:rsid w:val="6193545C"/>
    <w:rsid w:val="6196638C"/>
    <w:rsid w:val="619E19B9"/>
    <w:rsid w:val="61DA69D6"/>
    <w:rsid w:val="61F35A5A"/>
    <w:rsid w:val="621912AD"/>
    <w:rsid w:val="62416B14"/>
    <w:rsid w:val="62487DE4"/>
    <w:rsid w:val="62500A46"/>
    <w:rsid w:val="625422E5"/>
    <w:rsid w:val="62675B5F"/>
    <w:rsid w:val="62781EE6"/>
    <w:rsid w:val="628B15D4"/>
    <w:rsid w:val="62A468BF"/>
    <w:rsid w:val="62BF2ADF"/>
    <w:rsid w:val="62C05BCC"/>
    <w:rsid w:val="62CF7BBD"/>
    <w:rsid w:val="62F73EA8"/>
    <w:rsid w:val="63021D41"/>
    <w:rsid w:val="630F445E"/>
    <w:rsid w:val="63253835"/>
    <w:rsid w:val="63275E2D"/>
    <w:rsid w:val="632E6FDA"/>
    <w:rsid w:val="63332842"/>
    <w:rsid w:val="634B2759"/>
    <w:rsid w:val="636C5ADF"/>
    <w:rsid w:val="63730E90"/>
    <w:rsid w:val="63794C36"/>
    <w:rsid w:val="63820F1F"/>
    <w:rsid w:val="638559B0"/>
    <w:rsid w:val="639F1C85"/>
    <w:rsid w:val="63AB062A"/>
    <w:rsid w:val="63AB2A50"/>
    <w:rsid w:val="63C17E4E"/>
    <w:rsid w:val="63ED479F"/>
    <w:rsid w:val="64033FC2"/>
    <w:rsid w:val="64267CB1"/>
    <w:rsid w:val="643D19DF"/>
    <w:rsid w:val="64430863"/>
    <w:rsid w:val="646F78AA"/>
    <w:rsid w:val="647730C7"/>
    <w:rsid w:val="647B1EF1"/>
    <w:rsid w:val="64AF6674"/>
    <w:rsid w:val="64C5571C"/>
    <w:rsid w:val="64D15ECB"/>
    <w:rsid w:val="64E57454"/>
    <w:rsid w:val="64E9765C"/>
    <w:rsid w:val="64EB28E0"/>
    <w:rsid w:val="64FB03B0"/>
    <w:rsid w:val="65021814"/>
    <w:rsid w:val="6507224C"/>
    <w:rsid w:val="651D7306"/>
    <w:rsid w:val="6532281F"/>
    <w:rsid w:val="65426D6C"/>
    <w:rsid w:val="65476131"/>
    <w:rsid w:val="65640A91"/>
    <w:rsid w:val="65654809"/>
    <w:rsid w:val="65874A1F"/>
    <w:rsid w:val="658B30BC"/>
    <w:rsid w:val="659E4BCF"/>
    <w:rsid w:val="65AB2B63"/>
    <w:rsid w:val="65C11964"/>
    <w:rsid w:val="65E20D30"/>
    <w:rsid w:val="65E816C2"/>
    <w:rsid w:val="66372649"/>
    <w:rsid w:val="66380331"/>
    <w:rsid w:val="66456B14"/>
    <w:rsid w:val="66593A3B"/>
    <w:rsid w:val="66600A94"/>
    <w:rsid w:val="66696111"/>
    <w:rsid w:val="66785CF4"/>
    <w:rsid w:val="6695111E"/>
    <w:rsid w:val="66C832A1"/>
    <w:rsid w:val="66D103A8"/>
    <w:rsid w:val="66D87988"/>
    <w:rsid w:val="66E0683F"/>
    <w:rsid w:val="66E75E1D"/>
    <w:rsid w:val="66F44096"/>
    <w:rsid w:val="66FC572C"/>
    <w:rsid w:val="670B58D2"/>
    <w:rsid w:val="67127E33"/>
    <w:rsid w:val="671958AB"/>
    <w:rsid w:val="671F30C5"/>
    <w:rsid w:val="672E75A8"/>
    <w:rsid w:val="672F693E"/>
    <w:rsid w:val="674C7A59"/>
    <w:rsid w:val="6772195A"/>
    <w:rsid w:val="67733BC2"/>
    <w:rsid w:val="6796438E"/>
    <w:rsid w:val="67B17E28"/>
    <w:rsid w:val="67BC1058"/>
    <w:rsid w:val="67C644F4"/>
    <w:rsid w:val="67C8584A"/>
    <w:rsid w:val="67E22141"/>
    <w:rsid w:val="680A1B61"/>
    <w:rsid w:val="680B78E9"/>
    <w:rsid w:val="68120F42"/>
    <w:rsid w:val="68173597"/>
    <w:rsid w:val="68225C65"/>
    <w:rsid w:val="682E5183"/>
    <w:rsid w:val="683012AB"/>
    <w:rsid w:val="68360873"/>
    <w:rsid w:val="68794027"/>
    <w:rsid w:val="689A0C6D"/>
    <w:rsid w:val="68C65D9D"/>
    <w:rsid w:val="68DF4193"/>
    <w:rsid w:val="68F91837"/>
    <w:rsid w:val="690D16FE"/>
    <w:rsid w:val="691323C1"/>
    <w:rsid w:val="692A1FF1"/>
    <w:rsid w:val="69474E2D"/>
    <w:rsid w:val="69713E8B"/>
    <w:rsid w:val="69763488"/>
    <w:rsid w:val="69833C19"/>
    <w:rsid w:val="698F6943"/>
    <w:rsid w:val="69973B19"/>
    <w:rsid w:val="69D62568"/>
    <w:rsid w:val="69DB0C82"/>
    <w:rsid w:val="69FA5E67"/>
    <w:rsid w:val="6A046EF3"/>
    <w:rsid w:val="6A277B0F"/>
    <w:rsid w:val="6A3A11B2"/>
    <w:rsid w:val="6A3A2708"/>
    <w:rsid w:val="6A430C3A"/>
    <w:rsid w:val="6A4C4D11"/>
    <w:rsid w:val="6A5E25E7"/>
    <w:rsid w:val="6A735AF7"/>
    <w:rsid w:val="6A8B4438"/>
    <w:rsid w:val="6A955B90"/>
    <w:rsid w:val="6A9F4B4A"/>
    <w:rsid w:val="6AB029CA"/>
    <w:rsid w:val="6ABE26C0"/>
    <w:rsid w:val="6ACE4BFE"/>
    <w:rsid w:val="6AD16FE6"/>
    <w:rsid w:val="6ADE0AE4"/>
    <w:rsid w:val="6AF8480C"/>
    <w:rsid w:val="6B020340"/>
    <w:rsid w:val="6B052ADB"/>
    <w:rsid w:val="6B0643CF"/>
    <w:rsid w:val="6B1A35C7"/>
    <w:rsid w:val="6B4C3434"/>
    <w:rsid w:val="6B5E2426"/>
    <w:rsid w:val="6B7062AF"/>
    <w:rsid w:val="6B7E5284"/>
    <w:rsid w:val="6B9B0F84"/>
    <w:rsid w:val="6C1D5E3D"/>
    <w:rsid w:val="6C387681"/>
    <w:rsid w:val="6C4909E0"/>
    <w:rsid w:val="6C5268E5"/>
    <w:rsid w:val="6C830FA6"/>
    <w:rsid w:val="6C902796"/>
    <w:rsid w:val="6C98369C"/>
    <w:rsid w:val="6CA95FFF"/>
    <w:rsid w:val="6CE03B4D"/>
    <w:rsid w:val="6D0068CA"/>
    <w:rsid w:val="6D28663E"/>
    <w:rsid w:val="6D503C83"/>
    <w:rsid w:val="6D673814"/>
    <w:rsid w:val="6D7970A3"/>
    <w:rsid w:val="6D82064E"/>
    <w:rsid w:val="6DAE0689"/>
    <w:rsid w:val="6DBE53FE"/>
    <w:rsid w:val="6DD54C21"/>
    <w:rsid w:val="6DEA1D4F"/>
    <w:rsid w:val="6E1776AD"/>
    <w:rsid w:val="6E1B2439"/>
    <w:rsid w:val="6E274D51"/>
    <w:rsid w:val="6E2B032D"/>
    <w:rsid w:val="6E2B2D60"/>
    <w:rsid w:val="6E2E4332"/>
    <w:rsid w:val="6E33426E"/>
    <w:rsid w:val="6E9B230D"/>
    <w:rsid w:val="6EB83BFB"/>
    <w:rsid w:val="6EC94BCE"/>
    <w:rsid w:val="6F135EBD"/>
    <w:rsid w:val="6F137D1B"/>
    <w:rsid w:val="6F1426B4"/>
    <w:rsid w:val="6F330CBA"/>
    <w:rsid w:val="6F4E30CF"/>
    <w:rsid w:val="6F54036D"/>
    <w:rsid w:val="6F5B1156"/>
    <w:rsid w:val="6F5E74DC"/>
    <w:rsid w:val="6F6535B7"/>
    <w:rsid w:val="6F6F6D73"/>
    <w:rsid w:val="6F7A24E8"/>
    <w:rsid w:val="6F7D30CD"/>
    <w:rsid w:val="6F801900"/>
    <w:rsid w:val="6F901EF7"/>
    <w:rsid w:val="6F920CCE"/>
    <w:rsid w:val="6F960B43"/>
    <w:rsid w:val="6FCD5AE9"/>
    <w:rsid w:val="6FF173C5"/>
    <w:rsid w:val="70294BFB"/>
    <w:rsid w:val="7036127C"/>
    <w:rsid w:val="703A6FBE"/>
    <w:rsid w:val="70413B83"/>
    <w:rsid w:val="704D7FE5"/>
    <w:rsid w:val="70500B41"/>
    <w:rsid w:val="706C7561"/>
    <w:rsid w:val="707E1A17"/>
    <w:rsid w:val="70950698"/>
    <w:rsid w:val="70982DD8"/>
    <w:rsid w:val="70A703CB"/>
    <w:rsid w:val="70CE0915"/>
    <w:rsid w:val="70CE4E64"/>
    <w:rsid w:val="70F8159E"/>
    <w:rsid w:val="70F96E79"/>
    <w:rsid w:val="71230669"/>
    <w:rsid w:val="71265D8C"/>
    <w:rsid w:val="71337206"/>
    <w:rsid w:val="714E0847"/>
    <w:rsid w:val="71704AAF"/>
    <w:rsid w:val="718304F0"/>
    <w:rsid w:val="71874E66"/>
    <w:rsid w:val="718758A8"/>
    <w:rsid w:val="71AC5FAB"/>
    <w:rsid w:val="71BA7C8A"/>
    <w:rsid w:val="71C01B65"/>
    <w:rsid w:val="72007275"/>
    <w:rsid w:val="72273572"/>
    <w:rsid w:val="72293E38"/>
    <w:rsid w:val="723C4DB9"/>
    <w:rsid w:val="724A3C8B"/>
    <w:rsid w:val="725B76BF"/>
    <w:rsid w:val="72834E8D"/>
    <w:rsid w:val="729624A5"/>
    <w:rsid w:val="729A1F96"/>
    <w:rsid w:val="72AB7F81"/>
    <w:rsid w:val="72B42D4C"/>
    <w:rsid w:val="72B875F5"/>
    <w:rsid w:val="72BB1D8B"/>
    <w:rsid w:val="730833A3"/>
    <w:rsid w:val="730D09BA"/>
    <w:rsid w:val="73173BCC"/>
    <w:rsid w:val="731D35F0"/>
    <w:rsid w:val="73267CCD"/>
    <w:rsid w:val="732E1154"/>
    <w:rsid w:val="73406EE2"/>
    <w:rsid w:val="734819F2"/>
    <w:rsid w:val="73494092"/>
    <w:rsid w:val="735D1C68"/>
    <w:rsid w:val="737D6F5B"/>
    <w:rsid w:val="73824F1C"/>
    <w:rsid w:val="73CB6083"/>
    <w:rsid w:val="73D2750D"/>
    <w:rsid w:val="73D66E19"/>
    <w:rsid w:val="73DE5C35"/>
    <w:rsid w:val="73E21E46"/>
    <w:rsid w:val="73F15E96"/>
    <w:rsid w:val="73FE1215"/>
    <w:rsid w:val="7408762F"/>
    <w:rsid w:val="741D504A"/>
    <w:rsid w:val="74263BAF"/>
    <w:rsid w:val="742C1313"/>
    <w:rsid w:val="743D707D"/>
    <w:rsid w:val="74417729"/>
    <w:rsid w:val="745148D6"/>
    <w:rsid w:val="746A1E3C"/>
    <w:rsid w:val="74956C92"/>
    <w:rsid w:val="74E8331A"/>
    <w:rsid w:val="750062DC"/>
    <w:rsid w:val="750F68C4"/>
    <w:rsid w:val="75104791"/>
    <w:rsid w:val="751A5610"/>
    <w:rsid w:val="75311F1E"/>
    <w:rsid w:val="753A180E"/>
    <w:rsid w:val="755500E9"/>
    <w:rsid w:val="75580244"/>
    <w:rsid w:val="75720FA8"/>
    <w:rsid w:val="757545F4"/>
    <w:rsid w:val="7581111D"/>
    <w:rsid w:val="75A1132B"/>
    <w:rsid w:val="75C81206"/>
    <w:rsid w:val="76053BCA"/>
    <w:rsid w:val="760806DF"/>
    <w:rsid w:val="760C30DD"/>
    <w:rsid w:val="760F2C9B"/>
    <w:rsid w:val="761B34D7"/>
    <w:rsid w:val="764702B3"/>
    <w:rsid w:val="764D6766"/>
    <w:rsid w:val="76774EFB"/>
    <w:rsid w:val="76790114"/>
    <w:rsid w:val="7696270D"/>
    <w:rsid w:val="76A77E2D"/>
    <w:rsid w:val="76B80C3C"/>
    <w:rsid w:val="76E934EC"/>
    <w:rsid w:val="76EE0B02"/>
    <w:rsid w:val="76FE1779"/>
    <w:rsid w:val="77137BF8"/>
    <w:rsid w:val="771E4103"/>
    <w:rsid w:val="77333282"/>
    <w:rsid w:val="77517430"/>
    <w:rsid w:val="77690189"/>
    <w:rsid w:val="77960C1D"/>
    <w:rsid w:val="779F568D"/>
    <w:rsid w:val="779F7F6F"/>
    <w:rsid w:val="77AB254F"/>
    <w:rsid w:val="77B54F21"/>
    <w:rsid w:val="77C35AEB"/>
    <w:rsid w:val="77DA1306"/>
    <w:rsid w:val="77E37F3B"/>
    <w:rsid w:val="77FE6B23"/>
    <w:rsid w:val="784F3822"/>
    <w:rsid w:val="78557490"/>
    <w:rsid w:val="78682BC8"/>
    <w:rsid w:val="78A434C5"/>
    <w:rsid w:val="78B139DF"/>
    <w:rsid w:val="78E75809"/>
    <w:rsid w:val="7911139D"/>
    <w:rsid w:val="791E4FA3"/>
    <w:rsid w:val="792410CB"/>
    <w:rsid w:val="792D3303"/>
    <w:rsid w:val="793B7903"/>
    <w:rsid w:val="7942624F"/>
    <w:rsid w:val="79442028"/>
    <w:rsid w:val="798E037A"/>
    <w:rsid w:val="798F0C32"/>
    <w:rsid w:val="79AA220C"/>
    <w:rsid w:val="79B849EC"/>
    <w:rsid w:val="79DD6C0C"/>
    <w:rsid w:val="79E02567"/>
    <w:rsid w:val="79F673A7"/>
    <w:rsid w:val="79F74F34"/>
    <w:rsid w:val="7A0423EA"/>
    <w:rsid w:val="7A0706DB"/>
    <w:rsid w:val="7A1C7E11"/>
    <w:rsid w:val="7A3902E6"/>
    <w:rsid w:val="7A3E3B4E"/>
    <w:rsid w:val="7A4E3666"/>
    <w:rsid w:val="7A566C94"/>
    <w:rsid w:val="7A6115EB"/>
    <w:rsid w:val="7A7936AD"/>
    <w:rsid w:val="7A804167"/>
    <w:rsid w:val="7A981BFC"/>
    <w:rsid w:val="7ACC330F"/>
    <w:rsid w:val="7AD16771"/>
    <w:rsid w:val="7AE528BD"/>
    <w:rsid w:val="7AEA54F7"/>
    <w:rsid w:val="7AF001E4"/>
    <w:rsid w:val="7B136D89"/>
    <w:rsid w:val="7B36365C"/>
    <w:rsid w:val="7B6012DC"/>
    <w:rsid w:val="7B6C452B"/>
    <w:rsid w:val="7B767318"/>
    <w:rsid w:val="7B8C4175"/>
    <w:rsid w:val="7B9C4265"/>
    <w:rsid w:val="7BA031DA"/>
    <w:rsid w:val="7BB06386"/>
    <w:rsid w:val="7BB32D2F"/>
    <w:rsid w:val="7BBA79BE"/>
    <w:rsid w:val="7BBF0CBF"/>
    <w:rsid w:val="7BC93671"/>
    <w:rsid w:val="7BD32074"/>
    <w:rsid w:val="7BD81F5A"/>
    <w:rsid w:val="7BE431FF"/>
    <w:rsid w:val="7BF26971"/>
    <w:rsid w:val="7BFC4543"/>
    <w:rsid w:val="7C1A4147"/>
    <w:rsid w:val="7C2B0F68"/>
    <w:rsid w:val="7C2E0F19"/>
    <w:rsid w:val="7C372603"/>
    <w:rsid w:val="7C3969CE"/>
    <w:rsid w:val="7C43369E"/>
    <w:rsid w:val="7C4371FA"/>
    <w:rsid w:val="7C68679F"/>
    <w:rsid w:val="7C6A5395"/>
    <w:rsid w:val="7C7F0EF9"/>
    <w:rsid w:val="7C855A65"/>
    <w:rsid w:val="7C871B65"/>
    <w:rsid w:val="7C8D66C7"/>
    <w:rsid w:val="7C9E6B26"/>
    <w:rsid w:val="7D00333D"/>
    <w:rsid w:val="7D037A4E"/>
    <w:rsid w:val="7D133070"/>
    <w:rsid w:val="7D254B52"/>
    <w:rsid w:val="7D266FDB"/>
    <w:rsid w:val="7D2C63F7"/>
    <w:rsid w:val="7D4A32B9"/>
    <w:rsid w:val="7D63567A"/>
    <w:rsid w:val="7D645D5E"/>
    <w:rsid w:val="7D6531A0"/>
    <w:rsid w:val="7D7635FF"/>
    <w:rsid w:val="7D842B55"/>
    <w:rsid w:val="7D8442E1"/>
    <w:rsid w:val="7DA57C98"/>
    <w:rsid w:val="7DAB00E8"/>
    <w:rsid w:val="7DDA320F"/>
    <w:rsid w:val="7DEE13E8"/>
    <w:rsid w:val="7DF147EF"/>
    <w:rsid w:val="7DFF1847"/>
    <w:rsid w:val="7E271CAB"/>
    <w:rsid w:val="7E4454AB"/>
    <w:rsid w:val="7E472F50"/>
    <w:rsid w:val="7E631DD5"/>
    <w:rsid w:val="7E7C4C45"/>
    <w:rsid w:val="7E801007"/>
    <w:rsid w:val="7E8167F0"/>
    <w:rsid w:val="7E84713A"/>
    <w:rsid w:val="7EB54A7A"/>
    <w:rsid w:val="7EB663A9"/>
    <w:rsid w:val="7EC30AC6"/>
    <w:rsid w:val="7ECA12C4"/>
    <w:rsid w:val="7ED7614E"/>
    <w:rsid w:val="7ED76320"/>
    <w:rsid w:val="7EDF23D9"/>
    <w:rsid w:val="7EE34CC4"/>
    <w:rsid w:val="7F0D7F93"/>
    <w:rsid w:val="7F1E3965"/>
    <w:rsid w:val="7F3F2762"/>
    <w:rsid w:val="7F45772D"/>
    <w:rsid w:val="7F5D0D9D"/>
    <w:rsid w:val="7F6E135D"/>
    <w:rsid w:val="7F722F37"/>
    <w:rsid w:val="7F7378B0"/>
    <w:rsid w:val="7FAD3976"/>
    <w:rsid w:val="7FE01204"/>
    <w:rsid w:val="7FF87248"/>
    <w:rsid w:val="B7B44AE7"/>
    <w:rsid w:val="EB7D1BE6"/>
    <w:rsid w:val="F9DE5F40"/>
    <w:rsid w:val="FFBBF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4">
    <w:name w:val="heading 1"/>
    <w:basedOn w:val="1"/>
    <w:next w:val="1"/>
    <w:link w:val="37"/>
    <w:autoRedefine/>
    <w:unhideWhenUsed/>
    <w:qFormat/>
    <w:uiPriority w:val="9"/>
    <w:pPr>
      <w:keepNext/>
      <w:keepLines/>
      <w:spacing w:after="573" w:line="265" w:lineRule="auto"/>
      <w:ind w:left="10" w:right="122" w:hanging="10"/>
      <w:jc w:val="center"/>
      <w:outlineLvl w:val="0"/>
    </w:pPr>
    <w:rPr>
      <w:rFonts w:ascii="黑体" w:hAnsi="黑体" w:eastAsia="黑体" w:cs="黑体"/>
      <w:sz w:val="32"/>
    </w:rPr>
  </w:style>
  <w:style w:type="paragraph" w:styleId="5">
    <w:name w:val="heading 2"/>
    <w:basedOn w:val="1"/>
    <w:next w:val="6"/>
    <w:link w:val="38"/>
    <w:autoRedefine/>
    <w:unhideWhenUsed/>
    <w:qFormat/>
    <w:uiPriority w:val="9"/>
    <w:pPr>
      <w:keepNext/>
      <w:keepLines/>
      <w:spacing w:after="172" w:line="265" w:lineRule="auto"/>
      <w:ind w:left="10" w:right="116" w:hanging="10"/>
      <w:outlineLvl w:val="1"/>
    </w:pPr>
    <w:rPr>
      <w:rFonts w:ascii="黑体" w:hAnsi="黑体" w:eastAsia="黑体" w:cs="黑体"/>
      <w:sz w:val="28"/>
    </w:rPr>
  </w:style>
  <w:style w:type="paragraph" w:styleId="7">
    <w:name w:val="heading 3"/>
    <w:basedOn w:val="1"/>
    <w:next w:val="1"/>
    <w:link w:val="40"/>
    <w:autoRedefine/>
    <w:unhideWhenUsed/>
    <w:qFormat/>
    <w:uiPriority w:val="9"/>
    <w:pPr>
      <w:keepNext/>
      <w:keepLines/>
      <w:spacing w:after="172" w:line="265" w:lineRule="auto"/>
      <w:ind w:left="10" w:right="116" w:hanging="10"/>
      <w:outlineLvl w:val="2"/>
    </w:pPr>
    <w:rPr>
      <w:rFonts w:ascii="黑体" w:hAnsi="黑体" w:eastAsia="黑体" w:cs="黑体"/>
      <w:sz w:val="28"/>
    </w:rPr>
  </w:style>
  <w:style w:type="paragraph" w:styleId="8">
    <w:name w:val="heading 4"/>
    <w:basedOn w:val="1"/>
    <w:next w:val="1"/>
    <w:link w:val="41"/>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9">
    <w:name w:val="heading 5"/>
    <w:next w:val="1"/>
    <w:link w:val="42"/>
    <w:autoRedefine/>
    <w:unhideWhenUsed/>
    <w:qFormat/>
    <w:uiPriority w:val="9"/>
    <w:pPr>
      <w:keepNext/>
      <w:keepLines/>
      <w:spacing w:after="172" w:line="265" w:lineRule="auto"/>
      <w:ind w:left="10" w:right="116" w:hanging="10"/>
      <w:outlineLvl w:val="4"/>
    </w:pPr>
    <w:rPr>
      <w:rFonts w:ascii="黑体" w:hAnsi="黑体" w:eastAsia="黑体" w:cs="黑体"/>
      <w:color w:val="000000"/>
      <w:kern w:val="2"/>
      <w:sz w:val="28"/>
      <w:szCs w:val="22"/>
      <w:lang w:val="en-US" w:eastAsia="zh-CN" w:bidi="ar-SA"/>
    </w:rPr>
  </w:style>
  <w:style w:type="paragraph" w:styleId="10">
    <w:name w:val="heading 6"/>
    <w:next w:val="1"/>
    <w:link w:val="43"/>
    <w:autoRedefine/>
    <w:unhideWhenUsed/>
    <w:qFormat/>
    <w:uiPriority w:val="9"/>
    <w:pPr>
      <w:keepNext/>
      <w:keepLines/>
      <w:spacing w:after="172" w:line="265" w:lineRule="auto"/>
      <w:ind w:left="10" w:right="116" w:hanging="10"/>
      <w:outlineLvl w:val="5"/>
    </w:pPr>
    <w:rPr>
      <w:rFonts w:ascii="黑体" w:hAnsi="黑体" w:eastAsia="黑体" w:cs="黑体"/>
      <w:color w:val="000000"/>
      <w:kern w:val="2"/>
      <w:sz w:val="28"/>
      <w:szCs w:val="22"/>
      <w:lang w:val="en-US" w:eastAsia="zh-CN" w:bidi="ar-SA"/>
    </w:rPr>
  </w:style>
  <w:style w:type="paragraph" w:styleId="11">
    <w:name w:val="heading 7"/>
    <w:next w:val="1"/>
    <w:link w:val="44"/>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ind w:left="420" w:leftChars="200" w:firstLine="420" w:firstLineChars="200"/>
    </w:pPr>
    <w:rPr>
      <w:rFonts w:eastAsia="宋?"/>
      <w:sz w:val="21"/>
      <w:szCs w:val="24"/>
    </w:rPr>
  </w:style>
  <w:style w:type="paragraph" w:styleId="3">
    <w:name w:val="Body Text Indent"/>
    <w:basedOn w:val="1"/>
    <w:autoRedefine/>
    <w:qFormat/>
    <w:uiPriority w:val="0"/>
    <w:pPr>
      <w:ind w:firstLine="630"/>
    </w:pPr>
    <w:rPr>
      <w:sz w:val="32"/>
    </w:rPr>
  </w:style>
  <w:style w:type="paragraph" w:styleId="6">
    <w:name w:val="Normal Indent"/>
    <w:basedOn w:val="1"/>
    <w:autoRedefine/>
    <w:qFormat/>
    <w:uiPriority w:val="0"/>
    <w:pPr>
      <w:widowControl w:val="0"/>
      <w:spacing w:after="0" w:line="240" w:lineRule="auto"/>
      <w:ind w:firstLine="420" w:firstLineChars="200"/>
      <w:jc w:val="both"/>
    </w:pPr>
    <w:rPr>
      <w:rFonts w:eastAsia="宋体" w:cs="Times New Roman"/>
      <w:color w:val="auto"/>
      <w:sz w:val="21"/>
      <w:szCs w:val="24"/>
    </w:rPr>
  </w:style>
  <w:style w:type="paragraph" w:styleId="12">
    <w:name w:val="toc 7"/>
    <w:basedOn w:val="1"/>
    <w:next w:val="1"/>
    <w:autoRedefine/>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3">
    <w:name w:val="annotation text"/>
    <w:basedOn w:val="1"/>
    <w:link w:val="55"/>
    <w:autoRedefine/>
    <w:unhideWhenUsed/>
    <w:qFormat/>
    <w:uiPriority w:val="99"/>
  </w:style>
  <w:style w:type="paragraph" w:styleId="14">
    <w:name w:val="Body Text"/>
    <w:basedOn w:val="1"/>
    <w:next w:val="1"/>
    <w:link w:val="46"/>
    <w:autoRedefine/>
    <w:qFormat/>
    <w:uiPriority w:val="1"/>
    <w:pPr>
      <w:widowControl w:val="0"/>
      <w:autoSpaceDE w:val="0"/>
      <w:autoSpaceDN w:val="0"/>
      <w:adjustRightInd w:val="0"/>
      <w:spacing w:after="0" w:line="240" w:lineRule="auto"/>
      <w:ind w:left="520"/>
    </w:pPr>
    <w:rPr>
      <w:rFonts w:ascii="宋体" w:hAnsi="Times New Roman" w:eastAsia="宋体" w:cs="宋体"/>
      <w:color w:val="auto"/>
      <w:kern w:val="0"/>
      <w:sz w:val="21"/>
      <w:szCs w:val="21"/>
    </w:rPr>
  </w:style>
  <w:style w:type="paragraph" w:styleId="15">
    <w:name w:val="toc 5"/>
    <w:basedOn w:val="1"/>
    <w:next w:val="1"/>
    <w:autoRedefine/>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6">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17">
    <w:name w:val="toc 8"/>
    <w:basedOn w:val="1"/>
    <w:next w:val="1"/>
    <w:autoRedefine/>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8">
    <w:name w:val="Body Text Indent 2"/>
    <w:basedOn w:val="1"/>
    <w:autoRedefine/>
    <w:semiHidden/>
    <w:unhideWhenUsed/>
    <w:qFormat/>
    <w:uiPriority w:val="99"/>
    <w:pPr>
      <w:spacing w:after="120" w:line="480" w:lineRule="auto"/>
      <w:ind w:left="420" w:leftChars="200"/>
    </w:pPr>
  </w:style>
  <w:style w:type="paragraph" w:styleId="19">
    <w:name w:val="Balloon Text"/>
    <w:basedOn w:val="1"/>
    <w:link w:val="47"/>
    <w:autoRedefine/>
    <w:semiHidden/>
    <w:unhideWhenUsed/>
    <w:qFormat/>
    <w:uiPriority w:val="99"/>
    <w:pPr>
      <w:spacing w:after="0" w:line="240" w:lineRule="auto"/>
    </w:pPr>
    <w:rPr>
      <w:sz w:val="18"/>
      <w:szCs w:val="18"/>
    </w:rPr>
  </w:style>
  <w:style w:type="paragraph" w:styleId="20">
    <w:name w:val="footer"/>
    <w:basedOn w:val="1"/>
    <w:link w:val="51"/>
    <w:autoRedefine/>
    <w:unhideWhenUsed/>
    <w:qFormat/>
    <w:uiPriority w:val="99"/>
    <w:pPr>
      <w:widowControl w:val="0"/>
      <w:tabs>
        <w:tab w:val="center" w:pos="4153"/>
        <w:tab w:val="right" w:pos="8306"/>
      </w:tabs>
      <w:snapToGrid w:val="0"/>
      <w:spacing w:after="0" w:line="240" w:lineRule="auto"/>
    </w:pPr>
    <w:rPr>
      <w:rFonts w:ascii="Times New Roman" w:hAnsi="Times New Roman" w:eastAsia="宋体" w:cs="Times New Roman"/>
      <w:color w:val="auto"/>
      <w:sz w:val="18"/>
      <w:szCs w:val="18"/>
    </w:rPr>
  </w:style>
  <w:style w:type="paragraph" w:styleId="21">
    <w:name w:val="header"/>
    <w:basedOn w:val="1"/>
    <w:link w:val="54"/>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3">
    <w:name w:val="toc 4"/>
    <w:basedOn w:val="1"/>
    <w:next w:val="1"/>
    <w:autoRedefine/>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4">
    <w:name w:val="toc 6"/>
    <w:basedOn w:val="1"/>
    <w:next w:val="1"/>
    <w:autoRedefine/>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5">
    <w:name w:val="toc 2"/>
    <w:next w:val="1"/>
    <w:autoRedefine/>
    <w:hidden/>
    <w:qFormat/>
    <w:uiPriority w:val="39"/>
    <w:pPr>
      <w:spacing w:after="7"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26">
    <w:name w:val="toc 9"/>
    <w:basedOn w:val="1"/>
    <w:next w:val="1"/>
    <w:autoRedefine/>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7">
    <w:name w:val="Normal (Web)"/>
    <w:basedOn w:val="1"/>
    <w:autoRedefine/>
    <w:qFormat/>
    <w:uiPriority w:val="0"/>
    <w:pPr>
      <w:spacing w:before="100" w:beforeAutospacing="1" w:after="100" w:afterAutospacing="1" w:line="240" w:lineRule="auto"/>
    </w:pPr>
    <w:rPr>
      <w:rFonts w:ascii="宋体" w:hAnsi="宋体" w:eastAsia="宋体" w:cs="Times New Roman"/>
      <w:color w:val="auto"/>
      <w:kern w:val="0"/>
      <w:sz w:val="18"/>
      <w:szCs w:val="18"/>
    </w:rPr>
  </w:style>
  <w:style w:type="paragraph" w:styleId="28">
    <w:name w:val="annotation subject"/>
    <w:basedOn w:val="13"/>
    <w:next w:val="13"/>
    <w:link w:val="56"/>
    <w:autoRedefine/>
    <w:semiHidden/>
    <w:unhideWhenUsed/>
    <w:qFormat/>
    <w:uiPriority w:val="99"/>
    <w:rPr>
      <w:b/>
      <w:bCs/>
    </w:rPr>
  </w:style>
  <w:style w:type="paragraph" w:styleId="29">
    <w:name w:val="Body Text First Indent"/>
    <w:basedOn w:val="14"/>
    <w:autoRedefine/>
    <w:unhideWhenUsed/>
    <w:qFormat/>
    <w:uiPriority w:val="99"/>
    <w:pPr>
      <w:ind w:firstLine="420" w:firstLineChars="100"/>
    </w:pPr>
  </w:style>
  <w:style w:type="table" w:styleId="31">
    <w:name w:val="Table Grid"/>
    <w:basedOn w:val="3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rPr>
  </w:style>
  <w:style w:type="character" w:styleId="34">
    <w:name w:val="page number"/>
    <w:basedOn w:val="32"/>
    <w:autoRedefine/>
    <w:qFormat/>
    <w:uiPriority w:val="0"/>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semiHidden/>
    <w:unhideWhenUsed/>
    <w:qFormat/>
    <w:uiPriority w:val="99"/>
    <w:rPr>
      <w:sz w:val="21"/>
      <w:szCs w:val="21"/>
    </w:rPr>
  </w:style>
  <w:style w:type="character" w:customStyle="1" w:styleId="37">
    <w:name w:val="标题 1 字符"/>
    <w:link w:val="4"/>
    <w:autoRedefine/>
    <w:qFormat/>
    <w:uiPriority w:val="0"/>
    <w:rPr>
      <w:rFonts w:ascii="黑体" w:hAnsi="黑体" w:eastAsia="黑体" w:cs="黑体"/>
      <w:color w:val="000000"/>
      <w:sz w:val="32"/>
    </w:rPr>
  </w:style>
  <w:style w:type="character" w:customStyle="1" w:styleId="38">
    <w:name w:val="标题 2 字符"/>
    <w:link w:val="5"/>
    <w:autoRedefine/>
    <w:qFormat/>
    <w:uiPriority w:val="0"/>
    <w:rPr>
      <w:rFonts w:ascii="黑体" w:hAnsi="黑体" w:eastAsia="黑体" w:cs="黑体"/>
      <w:color w:val="000000"/>
      <w:sz w:val="28"/>
    </w:rPr>
  </w:style>
  <w:style w:type="paragraph" w:customStyle="1" w:styleId="39">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40">
    <w:name w:val="标题 3 字符"/>
    <w:link w:val="7"/>
    <w:autoRedefine/>
    <w:qFormat/>
    <w:uiPriority w:val="0"/>
    <w:rPr>
      <w:rFonts w:ascii="黑体" w:hAnsi="黑体" w:eastAsia="黑体" w:cs="黑体"/>
      <w:color w:val="000000"/>
      <w:sz w:val="28"/>
    </w:rPr>
  </w:style>
  <w:style w:type="character" w:customStyle="1" w:styleId="41">
    <w:name w:val="标题 4 字符"/>
    <w:link w:val="8"/>
    <w:autoRedefine/>
    <w:qFormat/>
    <w:uiPriority w:val="0"/>
    <w:rPr>
      <w:rFonts w:ascii="黑体" w:hAnsi="黑体" w:eastAsia="黑体" w:cs="黑体"/>
      <w:color w:val="000000"/>
      <w:sz w:val="28"/>
    </w:rPr>
  </w:style>
  <w:style w:type="character" w:customStyle="1" w:styleId="42">
    <w:name w:val="标题 5 字符"/>
    <w:link w:val="9"/>
    <w:autoRedefine/>
    <w:qFormat/>
    <w:uiPriority w:val="0"/>
    <w:rPr>
      <w:rFonts w:ascii="黑体" w:hAnsi="黑体" w:eastAsia="黑体" w:cs="黑体"/>
      <w:color w:val="000000"/>
      <w:sz w:val="28"/>
    </w:rPr>
  </w:style>
  <w:style w:type="character" w:customStyle="1" w:styleId="43">
    <w:name w:val="标题 6 字符"/>
    <w:link w:val="10"/>
    <w:autoRedefine/>
    <w:qFormat/>
    <w:uiPriority w:val="0"/>
    <w:rPr>
      <w:rFonts w:ascii="黑体" w:hAnsi="黑体" w:eastAsia="黑体" w:cs="黑体"/>
      <w:color w:val="000000"/>
      <w:sz w:val="28"/>
    </w:rPr>
  </w:style>
  <w:style w:type="character" w:customStyle="1" w:styleId="44">
    <w:name w:val="标题 7 字符"/>
    <w:link w:val="11"/>
    <w:autoRedefine/>
    <w:qFormat/>
    <w:uiPriority w:val="0"/>
    <w:rPr>
      <w:rFonts w:ascii="黑体" w:hAnsi="黑体" w:eastAsia="黑体" w:cs="黑体"/>
      <w:color w:val="000000"/>
      <w:sz w:val="28"/>
    </w:rPr>
  </w:style>
  <w:style w:type="table" w:customStyle="1" w:styleId="45">
    <w:name w:val="TableGrid"/>
    <w:autoRedefine/>
    <w:qFormat/>
    <w:uiPriority w:val="0"/>
    <w:tblPr>
      <w:tblCellMar>
        <w:top w:w="0" w:type="dxa"/>
        <w:left w:w="0" w:type="dxa"/>
        <w:bottom w:w="0" w:type="dxa"/>
        <w:right w:w="0" w:type="dxa"/>
      </w:tblCellMar>
    </w:tblPr>
  </w:style>
  <w:style w:type="character" w:customStyle="1" w:styleId="46">
    <w:name w:val="正文文本 字符"/>
    <w:basedOn w:val="32"/>
    <w:link w:val="14"/>
    <w:autoRedefine/>
    <w:qFormat/>
    <w:uiPriority w:val="1"/>
    <w:rPr>
      <w:rFonts w:ascii="宋体" w:hAnsi="Times New Roman" w:eastAsia="宋体" w:cs="宋体"/>
      <w:kern w:val="0"/>
      <w:szCs w:val="21"/>
    </w:rPr>
  </w:style>
  <w:style w:type="character" w:customStyle="1" w:styleId="47">
    <w:name w:val="批注框文本 字符"/>
    <w:basedOn w:val="32"/>
    <w:link w:val="19"/>
    <w:autoRedefine/>
    <w:semiHidden/>
    <w:qFormat/>
    <w:uiPriority w:val="99"/>
    <w:rPr>
      <w:rFonts w:ascii="Calibri" w:hAnsi="Calibri" w:eastAsia="Calibri" w:cs="Calibri"/>
      <w:color w:val="000000"/>
      <w:sz w:val="18"/>
      <w:szCs w:val="18"/>
    </w:rPr>
  </w:style>
  <w:style w:type="paragraph" w:customStyle="1" w:styleId="48">
    <w:name w:val="样式1"/>
    <w:basedOn w:val="1"/>
    <w:link w:val="49"/>
    <w:autoRedefine/>
    <w:qFormat/>
    <w:uiPriority w:val="0"/>
    <w:pPr>
      <w:spacing w:after="44" w:line="265" w:lineRule="auto"/>
      <w:ind w:left="417" w:right="749" w:hanging="10"/>
    </w:pPr>
    <w:rPr>
      <w:rFonts w:ascii="Times New Roman" w:hAnsi="Times New Roman" w:eastAsia="Times New Roman" w:cs="Times New Roman"/>
      <w:color w:val="auto"/>
      <w:sz w:val="21"/>
      <w:u w:val="single" w:color="000000"/>
    </w:rPr>
  </w:style>
  <w:style w:type="character" w:customStyle="1" w:styleId="49">
    <w:name w:val="样式1 字符"/>
    <w:basedOn w:val="32"/>
    <w:link w:val="48"/>
    <w:autoRedefine/>
    <w:qFormat/>
    <w:uiPriority w:val="0"/>
    <w:rPr>
      <w:rFonts w:ascii="Times New Roman" w:hAnsi="Times New Roman" w:eastAsia="Times New Roman" w:cs="Times New Roman"/>
      <w:u w:val="single" w:color="000000"/>
    </w:rPr>
  </w:style>
  <w:style w:type="paragraph" w:styleId="50">
    <w:name w:val="List Paragraph"/>
    <w:basedOn w:val="1"/>
    <w:autoRedefine/>
    <w:qFormat/>
    <w:uiPriority w:val="34"/>
    <w:pPr>
      <w:ind w:firstLine="420" w:firstLineChars="200"/>
    </w:pPr>
  </w:style>
  <w:style w:type="character" w:customStyle="1" w:styleId="51">
    <w:name w:val="页脚 字符1"/>
    <w:link w:val="20"/>
    <w:autoRedefine/>
    <w:qFormat/>
    <w:uiPriority w:val="99"/>
    <w:rPr>
      <w:rFonts w:ascii="Times New Roman" w:hAnsi="Times New Roman" w:eastAsia="宋体" w:cs="Times New Roman"/>
      <w:sz w:val="18"/>
      <w:szCs w:val="18"/>
    </w:rPr>
  </w:style>
  <w:style w:type="character" w:customStyle="1" w:styleId="52">
    <w:name w:val="页脚 字符"/>
    <w:basedOn w:val="32"/>
    <w:autoRedefine/>
    <w:qFormat/>
    <w:uiPriority w:val="99"/>
    <w:rPr>
      <w:rFonts w:ascii="Calibri" w:hAnsi="Calibri" w:eastAsia="Calibri" w:cs="Calibri"/>
      <w:color w:val="000000"/>
      <w:sz w:val="18"/>
      <w:szCs w:val="18"/>
    </w:rPr>
  </w:style>
  <w:style w:type="character" w:customStyle="1" w:styleId="53">
    <w:name w:val="未处理的提及1"/>
    <w:basedOn w:val="32"/>
    <w:autoRedefine/>
    <w:semiHidden/>
    <w:unhideWhenUsed/>
    <w:qFormat/>
    <w:uiPriority w:val="99"/>
    <w:rPr>
      <w:color w:val="605E5C"/>
      <w:shd w:val="clear" w:color="auto" w:fill="E1DFDD"/>
    </w:rPr>
  </w:style>
  <w:style w:type="character" w:customStyle="1" w:styleId="54">
    <w:name w:val="页眉 字符"/>
    <w:basedOn w:val="32"/>
    <w:link w:val="21"/>
    <w:autoRedefine/>
    <w:qFormat/>
    <w:uiPriority w:val="99"/>
    <w:rPr>
      <w:rFonts w:ascii="Calibri" w:hAnsi="Calibri" w:eastAsia="Calibri" w:cs="Calibri"/>
      <w:color w:val="000000"/>
      <w:sz w:val="18"/>
      <w:szCs w:val="18"/>
    </w:rPr>
  </w:style>
  <w:style w:type="character" w:customStyle="1" w:styleId="55">
    <w:name w:val="批注文字 字符"/>
    <w:basedOn w:val="32"/>
    <w:link w:val="13"/>
    <w:autoRedefine/>
    <w:qFormat/>
    <w:uiPriority w:val="99"/>
    <w:rPr>
      <w:rFonts w:ascii="Calibri" w:hAnsi="Calibri" w:eastAsia="Calibri" w:cs="Calibri"/>
      <w:color w:val="000000"/>
      <w:sz w:val="22"/>
    </w:rPr>
  </w:style>
  <w:style w:type="character" w:customStyle="1" w:styleId="56">
    <w:name w:val="批注主题 字符"/>
    <w:basedOn w:val="55"/>
    <w:link w:val="28"/>
    <w:autoRedefine/>
    <w:semiHidden/>
    <w:qFormat/>
    <w:uiPriority w:val="99"/>
    <w:rPr>
      <w:rFonts w:ascii="Calibri" w:hAnsi="Calibri" w:eastAsia="Calibri" w:cs="Calibri"/>
      <w:b/>
      <w:bCs/>
      <w:color w:val="000000"/>
      <w:sz w:val="22"/>
    </w:rPr>
  </w:style>
  <w:style w:type="paragraph" w:customStyle="1" w:styleId="57">
    <w:name w:val="Table Paragraph"/>
    <w:basedOn w:val="1"/>
    <w:autoRedefine/>
    <w:qFormat/>
    <w:uiPriority w:val="1"/>
  </w:style>
  <w:style w:type="paragraph" w:customStyle="1" w:styleId="58">
    <w:name w:val="样式 标题 3 + (中文) 黑体 小四 非加粗 段前: 7.8 磅 段后: 0 磅 行距: 固定值 20 磅"/>
    <w:basedOn w:val="7"/>
    <w:autoRedefine/>
    <w:qFormat/>
    <w:uiPriority w:val="0"/>
    <w:pPr>
      <w:spacing w:after="0" w:line="400" w:lineRule="exact"/>
    </w:pPr>
    <w:rPr>
      <w:rFonts w:cs="宋体"/>
      <w:sz w:val="24"/>
      <w:szCs w:val="20"/>
    </w:rPr>
  </w:style>
  <w:style w:type="paragraph" w:customStyle="1" w:styleId="59">
    <w:name w:val="修订1"/>
    <w:autoRedefine/>
    <w:hidden/>
    <w:semiHidden/>
    <w:qFormat/>
    <w:uiPriority w:val="99"/>
    <w:rPr>
      <w:rFonts w:ascii="Calibri" w:hAnsi="Calibri" w:eastAsia="Calibri" w:cs="Calibri"/>
      <w:color w:val="000000"/>
      <w:kern w:val="2"/>
      <w:sz w:val="22"/>
      <w:szCs w:val="22"/>
      <w:lang w:val="en-US" w:eastAsia="zh-CN" w:bidi="ar-SA"/>
    </w:rPr>
  </w:style>
  <w:style w:type="character" w:customStyle="1" w:styleId="60">
    <w:name w:val="未处理的提及2"/>
    <w:basedOn w:val="32"/>
    <w:autoRedefine/>
    <w:semiHidden/>
    <w:unhideWhenUsed/>
    <w:qFormat/>
    <w:uiPriority w:val="99"/>
    <w:rPr>
      <w:color w:val="605E5C"/>
      <w:shd w:val="clear" w:color="auto" w:fill="E1DFDD"/>
    </w:rPr>
  </w:style>
  <w:style w:type="character" w:customStyle="1" w:styleId="61">
    <w:name w:val="未处理的提及3"/>
    <w:basedOn w:val="32"/>
    <w:autoRedefine/>
    <w:semiHidden/>
    <w:unhideWhenUsed/>
    <w:qFormat/>
    <w:uiPriority w:val="99"/>
    <w:rPr>
      <w:color w:val="605E5C"/>
      <w:shd w:val="clear" w:color="auto" w:fill="E1DFDD"/>
    </w:rPr>
  </w:style>
  <w:style w:type="paragraph" w:customStyle="1" w:styleId="62">
    <w:name w:val="BodyText"/>
    <w:basedOn w:val="1"/>
    <w:autoRedefine/>
    <w:qFormat/>
    <w:uiPriority w:val="0"/>
    <w:pPr>
      <w:spacing w:line="240" w:lineRule="atLeast"/>
      <w:textAlignment w:val="baseline"/>
    </w:pPr>
    <w:rPr>
      <w:rFonts w:eastAsia="小标宋"/>
      <w:sz w:val="44"/>
    </w:rPr>
  </w:style>
  <w:style w:type="paragraph" w:customStyle="1" w:styleId="63">
    <w:name w:val="修订2"/>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4">
    <w:name w:val="修订3"/>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5">
    <w:name w:val="修订4"/>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6">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67">
    <w:name w:val="样式2"/>
    <w:basedOn w:val="1"/>
    <w:autoRedefine/>
    <w:qFormat/>
    <w:uiPriority w:val="0"/>
    <w:pPr>
      <w:spacing w:line="360" w:lineRule="auto"/>
      <w:ind w:firstLine="200" w:firstLineChars="200"/>
    </w:pPr>
    <w:rPr>
      <w:rFonts w:ascii="宋体" w:hAnsi="宋体"/>
      <w:bCs/>
      <w:spacing w:val="12"/>
      <w:sz w:val="24"/>
    </w:rPr>
  </w:style>
  <w:style w:type="paragraph" w:customStyle="1" w:styleId="68">
    <w:name w:val="Revision"/>
    <w:hidden/>
    <w:unhideWhenUsed/>
    <w:qFormat/>
    <w:uiPriority w:val="99"/>
    <w:rPr>
      <w:rFonts w:ascii="Calibri" w:hAnsi="Calibri" w:eastAsia="Calibri" w:cs="Calibri"/>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3096</Words>
  <Characters>3421</Characters>
  <Lines>83</Lines>
  <Paragraphs>23</Paragraphs>
  <TotalTime>6</TotalTime>
  <ScaleCrop>false</ScaleCrop>
  <LinksUpToDate>false</LinksUpToDate>
  <CharactersWithSpaces>3467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2023-05-05T07:10:00Z</dcterms:created>
  <dc:creator>袁静</dc:creator>
  <cp:lastModifiedBy>岳成林</cp:lastModifiedBy>
  <cp:lastPrinted>2025-03-18T00:03:00Z</cp:lastPrinted>
  <dcterms:modified xsi:type="dcterms:W3CDTF">2025-12-25T08:13:48Z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459D02605AD94B67B2E9648047890D39_13</vt:lpwstr>
  </property>
  <property fmtid="{D5CDD505-2E9C-101B-9397-08002B2CF9AE}" pid="4" name="KSOTemplateDocerSaveRecord">
    <vt:lpwstr>eyJoZGlkIjoiNmZlMWQzNjc1ZTM5YTYxNjg0NzVlZjY5ZWJiYzhmOTYiLCJ1c2VySWQiOiIxNjM0OTc3Mjk5In0=</vt:lpwstr>
  </property>
</Properties>
</file>